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26534">
      <w:pPr>
        <w:pStyle w:val="11"/>
        <w:jc w:val="center"/>
        <w:outlineLvl w:val="1"/>
        <w:rPr>
          <w:rFonts w:hint="default"/>
          <w:highlight w:val="none"/>
        </w:rPr>
      </w:pPr>
      <w:r>
        <w:rPr>
          <w:b/>
          <w:sz w:val="36"/>
          <w:highlight w:val="none"/>
        </w:rPr>
        <w:t>第二章 采购需求</w:t>
      </w:r>
    </w:p>
    <w:p w14:paraId="7833C487">
      <w:pPr>
        <w:pStyle w:val="11"/>
        <w:outlineLvl w:val="2"/>
        <w:rPr>
          <w:rFonts w:hint="default"/>
          <w:highlight w:val="none"/>
        </w:rPr>
      </w:pPr>
      <w:r>
        <w:rPr>
          <w:b/>
          <w:sz w:val="28"/>
          <w:highlight w:val="none"/>
        </w:rPr>
        <w:t>一、项目概况：</w:t>
      </w:r>
    </w:p>
    <w:p w14:paraId="5ED9ACD7">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项目类型：服务类</w:t>
      </w:r>
    </w:p>
    <w:p w14:paraId="10263760">
      <w:pPr>
        <w:pStyle w:val="2"/>
        <w:numPr>
          <w:ilvl w:val="0"/>
          <w:numId w:val="0"/>
        </w:numPr>
        <w:spacing w:before="156" w:beforeLines="50" w:after="156" w:afterLines="50"/>
        <w:ind w:left="425" w:hanging="425"/>
        <w:rPr>
          <w:rFonts w:ascii="宋体" w:hAnsi="宋体" w:eastAsia="宋体" w:cs="宋体"/>
          <w:sz w:val="32"/>
          <w:szCs w:val="32"/>
          <w:highlight w:val="none"/>
        </w:rPr>
      </w:pPr>
      <w:r>
        <w:rPr>
          <w:rFonts w:hint="eastAsia" w:ascii="宋体" w:hAnsi="宋体" w:eastAsia="宋体" w:cs="宋体"/>
          <w:sz w:val="32"/>
          <w:szCs w:val="32"/>
          <w:highlight w:val="none"/>
        </w:rPr>
        <w:t>建设内容一览表</w:t>
      </w:r>
    </w:p>
    <w:tbl>
      <w:tblPr>
        <w:tblStyle w:val="8"/>
        <w:tblpPr w:leftFromText="180" w:rightFromText="180" w:vertAnchor="text" w:horzAnchor="margin" w:tblpX="118" w:tblpY="152"/>
        <w:tblW w:w="8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536"/>
        <w:gridCol w:w="2839"/>
      </w:tblGrid>
      <w:tr w14:paraId="2A0A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1555" w:type="dxa"/>
            <w:noWrap/>
          </w:tcPr>
          <w:p w14:paraId="660EC3F0">
            <w:pPr>
              <w:pStyle w:val="12"/>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序号</w:t>
            </w:r>
          </w:p>
        </w:tc>
        <w:tc>
          <w:tcPr>
            <w:tcW w:w="4536" w:type="dxa"/>
            <w:noWrap/>
          </w:tcPr>
          <w:p w14:paraId="74E5079C">
            <w:pPr>
              <w:pStyle w:val="12"/>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内容</w:t>
            </w:r>
          </w:p>
        </w:tc>
        <w:tc>
          <w:tcPr>
            <w:tcW w:w="2839" w:type="dxa"/>
            <w:noWrap/>
          </w:tcPr>
          <w:p w14:paraId="2C593E9C">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数量</w:t>
            </w:r>
          </w:p>
        </w:tc>
      </w:tr>
      <w:tr w14:paraId="3110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555" w:type="dxa"/>
            <w:noWrap/>
            <w:vAlign w:val="center"/>
          </w:tcPr>
          <w:p w14:paraId="2FADC475">
            <w:pPr>
              <w:pStyle w:val="12"/>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p>
        </w:tc>
        <w:tc>
          <w:tcPr>
            <w:tcW w:w="4536" w:type="dxa"/>
            <w:noWrap/>
            <w:vAlign w:val="center"/>
          </w:tcPr>
          <w:p w14:paraId="5624BEE5">
            <w:pPr>
              <w:pStyle w:val="12"/>
              <w:spacing w:line="360" w:lineRule="auto"/>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医保综合管理系统</w:t>
            </w:r>
          </w:p>
        </w:tc>
        <w:tc>
          <w:tcPr>
            <w:tcW w:w="2839" w:type="dxa"/>
            <w:noWrap/>
            <w:vAlign w:val="center"/>
          </w:tcPr>
          <w:p w14:paraId="1E2242F2">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1套</w:t>
            </w:r>
          </w:p>
        </w:tc>
      </w:tr>
    </w:tbl>
    <w:p w14:paraId="552AF90C">
      <w:pPr>
        <w:pStyle w:val="2"/>
        <w:numPr>
          <w:ilvl w:val="0"/>
          <w:numId w:val="0"/>
        </w:numPr>
        <w:spacing w:before="156" w:beforeLines="50" w:after="156" w:afterLines="50"/>
        <w:ind w:left="425" w:hanging="425"/>
        <w:rPr>
          <w:rFonts w:ascii="宋体" w:hAnsi="宋体" w:eastAsia="宋体" w:cs="宋体"/>
          <w:sz w:val="32"/>
          <w:szCs w:val="32"/>
          <w:highlight w:val="none"/>
        </w:rPr>
      </w:pPr>
      <w:r>
        <w:rPr>
          <w:rFonts w:hint="eastAsia" w:ascii="宋体" w:hAnsi="宋体" w:eastAsia="宋体" w:cs="宋体"/>
          <w:sz w:val="32"/>
          <w:szCs w:val="32"/>
          <w:highlight w:val="none"/>
        </w:rPr>
        <w:t>二、需求背景</w:t>
      </w:r>
    </w:p>
    <w:p w14:paraId="330B6EB8">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据国办发【2017】55号《关于进一步深化基本医疗保险支付方式改革的指导意见》）2020年2月25日中共中央国务院《关于深化医疗保险制度改革的意见》和国办发【2020】20号《关于推进医疗保险基金监管制度体系改革的指导意见》等政策要求，建立管用高效的医保支付机制，开展医保支付方式改革，大力推进大数据应用，重点推进按病种）按疾病诊断相关分组等支付方式为主的多元复合式医保支付方式，强化医保基金总额预算管理，提高医保基金使用效率。</w:t>
      </w:r>
    </w:p>
    <w:p w14:paraId="52073433">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随着按病种分值付费（Big Data Diagnosis-Intervention Packet,简称DIP）模式的推行，医院面对的不再是单个平均费用定额结算标准，而是成千上万个不同分值的病种组合，病种分值成为了DIP支付的度量衡。同时医疗保险政策的覆盖面逐年扩大，来我院就诊人员中参保患者所占的比例在逐年增加，省、市医保管理部门也加大对医疗机构的管理，以往将全院平均费用定额结算标准进行分科室设置定额目标的粗放管理模式已不再适用，倒逼医院推行管理变革，提升医保精细化管理水平。</w:t>
      </w:r>
    </w:p>
    <w:p w14:paraId="13B51CFA">
      <w:pPr>
        <w:pStyle w:val="2"/>
        <w:numPr>
          <w:ilvl w:val="0"/>
          <w:numId w:val="0"/>
        </w:numPr>
        <w:spacing w:before="156" w:beforeLines="50" w:after="156" w:afterLines="50"/>
        <w:ind w:left="425" w:hanging="425"/>
        <w:rPr>
          <w:rFonts w:ascii="宋体" w:hAnsi="宋体" w:eastAsia="宋体" w:cs="宋体"/>
          <w:sz w:val="32"/>
          <w:szCs w:val="32"/>
          <w:highlight w:val="none"/>
        </w:rPr>
      </w:pPr>
      <w:bookmarkStart w:id="0" w:name="_Toc905742994"/>
      <w:bookmarkStart w:id="1" w:name="_Toc112095384"/>
      <w:r>
        <w:rPr>
          <w:rFonts w:hint="eastAsia" w:ascii="宋体" w:hAnsi="宋体" w:eastAsia="宋体" w:cs="宋体"/>
          <w:sz w:val="32"/>
          <w:szCs w:val="32"/>
          <w:highlight w:val="none"/>
        </w:rPr>
        <w:t>三、项目总体要求</w:t>
      </w:r>
    </w:p>
    <w:tbl>
      <w:tblPr>
        <w:tblStyle w:val="9"/>
        <w:tblW w:w="9355"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7405"/>
      </w:tblGrid>
      <w:tr w14:paraId="0F73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6166B0AC">
            <w:pPr>
              <w:snapToGrid w:val="0"/>
              <w:spacing w:after="0"/>
              <w:rPr>
                <w:rFonts w:ascii="宋体" w:hAnsi="宋体" w:cs="宋体"/>
                <w:b/>
                <w:bCs/>
                <w:sz w:val="24"/>
                <w:szCs w:val="24"/>
                <w:highlight w:val="none"/>
                <w:lang w:val="es-AR"/>
              </w:rPr>
            </w:pPr>
            <w:r>
              <w:rPr>
                <w:rFonts w:hint="eastAsia" w:ascii="宋体" w:hAnsi="宋体" w:cs="宋体"/>
                <w:b/>
                <w:bCs/>
                <w:sz w:val="24"/>
                <w:szCs w:val="24"/>
                <w:highlight w:val="none"/>
                <w:lang w:val="es-AR"/>
              </w:rPr>
              <w:t>序号</w:t>
            </w:r>
          </w:p>
        </w:tc>
        <w:tc>
          <w:tcPr>
            <w:tcW w:w="1200" w:type="dxa"/>
            <w:tcBorders>
              <w:left w:val="single" w:color="auto" w:sz="4" w:space="0"/>
            </w:tcBorders>
            <w:noWrap/>
            <w:vAlign w:val="center"/>
          </w:tcPr>
          <w:p w14:paraId="18529446">
            <w:pPr>
              <w:snapToGrid w:val="0"/>
              <w:spacing w:after="0"/>
              <w:rPr>
                <w:rFonts w:ascii="宋体" w:hAnsi="宋体" w:cs="宋体"/>
                <w:b/>
                <w:bCs/>
                <w:sz w:val="24"/>
                <w:szCs w:val="24"/>
                <w:highlight w:val="none"/>
                <w:lang w:val="es-AR"/>
              </w:rPr>
            </w:pPr>
            <w:r>
              <w:rPr>
                <w:rFonts w:hint="eastAsia" w:ascii="宋体" w:hAnsi="宋体" w:cs="宋体"/>
                <w:b/>
                <w:bCs/>
                <w:sz w:val="24"/>
                <w:szCs w:val="24"/>
                <w:highlight w:val="none"/>
                <w:lang w:val="es-AR"/>
              </w:rPr>
              <w:t>要求</w:t>
            </w:r>
          </w:p>
        </w:tc>
        <w:tc>
          <w:tcPr>
            <w:tcW w:w="7405" w:type="dxa"/>
            <w:noWrap/>
            <w:vAlign w:val="bottom"/>
          </w:tcPr>
          <w:p w14:paraId="1B68A0DB">
            <w:pPr>
              <w:snapToGrid w:val="0"/>
              <w:spacing w:after="0"/>
              <w:rPr>
                <w:rFonts w:ascii="宋体" w:hAnsi="宋体" w:cs="宋体"/>
                <w:b/>
                <w:bCs/>
                <w:sz w:val="24"/>
                <w:szCs w:val="24"/>
                <w:highlight w:val="none"/>
                <w:lang w:val="es-AR"/>
              </w:rPr>
            </w:pPr>
            <w:r>
              <w:rPr>
                <w:rFonts w:hint="eastAsia" w:ascii="宋体" w:hAnsi="宋体" w:cs="宋体"/>
                <w:b/>
                <w:bCs/>
                <w:sz w:val="24"/>
                <w:szCs w:val="24"/>
                <w:highlight w:val="none"/>
                <w:lang w:val="es-AR"/>
              </w:rPr>
              <w:t>具体内容</w:t>
            </w:r>
          </w:p>
        </w:tc>
      </w:tr>
      <w:tr w14:paraId="663D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2123C424">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1</w:t>
            </w:r>
          </w:p>
        </w:tc>
        <w:tc>
          <w:tcPr>
            <w:tcW w:w="1200" w:type="dxa"/>
            <w:tcBorders>
              <w:left w:val="single" w:color="auto" w:sz="4" w:space="0"/>
            </w:tcBorders>
            <w:noWrap/>
            <w:vAlign w:val="center"/>
          </w:tcPr>
          <w:p w14:paraId="32C07C67">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工期</w:t>
            </w:r>
          </w:p>
        </w:tc>
        <w:tc>
          <w:tcPr>
            <w:tcW w:w="7405" w:type="dxa"/>
            <w:noWrap/>
            <w:vAlign w:val="bottom"/>
          </w:tcPr>
          <w:p w14:paraId="187DE873">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签订合同后9</w:t>
            </w:r>
            <w:r>
              <w:rPr>
                <w:rFonts w:ascii="宋体" w:hAnsi="宋体" w:cs="宋体"/>
                <w:sz w:val="24"/>
                <w:szCs w:val="24"/>
                <w:highlight w:val="none"/>
                <w:lang w:eastAsia="zh-CN"/>
              </w:rPr>
              <w:t>0</w:t>
            </w:r>
            <w:r>
              <w:rPr>
                <w:rFonts w:hint="eastAsia" w:ascii="宋体" w:hAnsi="宋体" w:cs="宋体"/>
                <w:sz w:val="24"/>
                <w:szCs w:val="24"/>
                <w:highlight w:val="none"/>
                <w:lang w:eastAsia="zh-CN"/>
              </w:rPr>
              <w:t>个工作日内完成。</w:t>
            </w:r>
          </w:p>
        </w:tc>
      </w:tr>
      <w:tr w14:paraId="46F6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3F6CE627">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2</w:t>
            </w:r>
          </w:p>
        </w:tc>
        <w:tc>
          <w:tcPr>
            <w:tcW w:w="1200" w:type="dxa"/>
            <w:tcBorders>
              <w:left w:val="single" w:color="auto" w:sz="4" w:space="0"/>
            </w:tcBorders>
            <w:noWrap/>
            <w:vAlign w:val="center"/>
          </w:tcPr>
          <w:p w14:paraId="73D686D9">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售后服务</w:t>
            </w:r>
          </w:p>
        </w:tc>
        <w:tc>
          <w:tcPr>
            <w:tcW w:w="7405" w:type="dxa"/>
            <w:noWrap/>
            <w:vAlign w:val="bottom"/>
          </w:tcPr>
          <w:p w14:paraId="41BA9007">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自验收合格日起至少提供为期</w:t>
            </w:r>
            <w:r>
              <w:rPr>
                <w:rFonts w:hint="eastAsia" w:ascii="宋体" w:hAnsi="宋体" w:cs="宋体"/>
                <w:color w:val="0000FF"/>
                <w:sz w:val="24"/>
                <w:szCs w:val="24"/>
                <w:highlight w:val="none"/>
                <w:lang w:eastAsia="zh-CN"/>
              </w:rPr>
              <w:t>2年</w:t>
            </w:r>
            <w:r>
              <w:rPr>
                <w:rFonts w:hint="eastAsia" w:ascii="宋体" w:hAnsi="宋体" w:cs="宋体"/>
                <w:sz w:val="24"/>
                <w:szCs w:val="24"/>
                <w:highlight w:val="none"/>
                <w:lang w:eastAsia="zh-CN"/>
              </w:rPr>
              <w:t>的原厂免费售后服务，质保期内系统免费升级。对于技术故障，工程师在2小时内提供电话指导或通过远程维护解决，如仍无法解决，需在1个工作日内到现场解决。</w:t>
            </w:r>
          </w:p>
        </w:tc>
      </w:tr>
      <w:tr w14:paraId="1D97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50" w:type="dxa"/>
            <w:tcBorders>
              <w:right w:val="single" w:color="auto" w:sz="4" w:space="0"/>
            </w:tcBorders>
            <w:noWrap/>
            <w:vAlign w:val="center"/>
          </w:tcPr>
          <w:p w14:paraId="3B7BCE43">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3</w:t>
            </w:r>
          </w:p>
        </w:tc>
        <w:tc>
          <w:tcPr>
            <w:tcW w:w="1200" w:type="dxa"/>
            <w:tcBorders>
              <w:left w:val="single" w:color="auto" w:sz="4" w:space="0"/>
            </w:tcBorders>
            <w:noWrap/>
            <w:vAlign w:val="center"/>
          </w:tcPr>
          <w:p w14:paraId="2EFE2A8B">
            <w:pPr>
              <w:snapToGrid w:val="0"/>
              <w:spacing w:after="0"/>
              <w:rPr>
                <w:rFonts w:ascii="宋体" w:hAnsi="宋体" w:cs="宋体"/>
                <w:sz w:val="24"/>
                <w:szCs w:val="24"/>
                <w:highlight w:val="none"/>
                <w:lang w:val="es-AR"/>
              </w:rPr>
            </w:pPr>
            <w:r>
              <w:rPr>
                <w:rFonts w:hint="eastAsia" w:ascii="宋体" w:hAnsi="宋体" w:cs="宋体"/>
                <w:sz w:val="24"/>
                <w:szCs w:val="24"/>
                <w:highlight w:val="none"/>
                <w:lang w:val="es-AR"/>
              </w:rPr>
              <w:t>培训</w:t>
            </w:r>
          </w:p>
        </w:tc>
        <w:tc>
          <w:tcPr>
            <w:tcW w:w="7405" w:type="dxa"/>
            <w:noWrap/>
            <w:vAlign w:val="bottom"/>
          </w:tcPr>
          <w:p w14:paraId="0DFE4529">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中标人免费对我院临床使用人员及系统管理人员进行软件使用与维护培训，并安排专职培训讲师对相关使用人员进行培训，培训次数根据医院实际需求进行。</w:t>
            </w:r>
          </w:p>
        </w:tc>
      </w:tr>
      <w:tr w14:paraId="1597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50" w:type="dxa"/>
            <w:tcBorders>
              <w:right w:val="single" w:color="auto" w:sz="4" w:space="0"/>
            </w:tcBorders>
            <w:noWrap/>
            <w:vAlign w:val="center"/>
          </w:tcPr>
          <w:p w14:paraId="09B79264">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4</w:t>
            </w:r>
          </w:p>
        </w:tc>
        <w:tc>
          <w:tcPr>
            <w:tcW w:w="1200" w:type="dxa"/>
            <w:tcBorders>
              <w:left w:val="single" w:color="auto" w:sz="4" w:space="0"/>
            </w:tcBorders>
            <w:noWrap/>
            <w:vAlign w:val="center"/>
          </w:tcPr>
          <w:p w14:paraId="3EFDBFCC">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接口要求</w:t>
            </w:r>
          </w:p>
        </w:tc>
        <w:tc>
          <w:tcPr>
            <w:tcW w:w="7405" w:type="dxa"/>
            <w:noWrap/>
            <w:vAlign w:val="bottom"/>
          </w:tcPr>
          <w:p w14:paraId="6F892783">
            <w:pPr>
              <w:snapToGrid w:val="0"/>
              <w:spacing w:after="0"/>
              <w:rPr>
                <w:rFonts w:ascii="宋体" w:hAnsi="宋体" w:cs="宋体"/>
                <w:sz w:val="24"/>
                <w:szCs w:val="24"/>
                <w:highlight w:val="none"/>
                <w:lang w:eastAsia="zh-CN"/>
              </w:rPr>
            </w:pPr>
            <w:r>
              <w:rPr>
                <w:rFonts w:hint="eastAsia" w:ascii="宋体" w:hAnsi="宋体" w:cs="宋体"/>
                <w:sz w:val="24"/>
                <w:szCs w:val="24"/>
                <w:highlight w:val="none"/>
                <w:lang w:eastAsia="zh-CN"/>
              </w:rPr>
              <w:t>投标总报价里面要求需包含与第三方的接口费。</w:t>
            </w:r>
          </w:p>
        </w:tc>
      </w:tr>
    </w:tbl>
    <w:p w14:paraId="1C468664">
      <w:pPr>
        <w:pStyle w:val="2"/>
        <w:numPr>
          <w:ilvl w:val="0"/>
          <w:numId w:val="0"/>
        </w:numPr>
        <w:spacing w:before="156" w:beforeLines="50" w:after="156" w:afterLines="50"/>
        <w:ind w:left="425" w:hanging="425"/>
        <w:rPr>
          <w:rFonts w:ascii="宋体" w:hAnsi="宋体" w:eastAsia="宋体" w:cs="宋体"/>
          <w:sz w:val="32"/>
          <w:szCs w:val="32"/>
          <w:highlight w:val="none"/>
        </w:rPr>
      </w:pPr>
      <w:r>
        <w:rPr>
          <w:rFonts w:hint="eastAsia" w:ascii="宋体" w:hAnsi="宋体" w:eastAsia="宋体" w:cs="宋体"/>
          <w:sz w:val="32"/>
          <w:szCs w:val="32"/>
          <w:highlight w:val="none"/>
        </w:rPr>
        <w:t>四、建设内容一览表</w:t>
      </w:r>
    </w:p>
    <w:tbl>
      <w:tblPr>
        <w:tblStyle w:val="9"/>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9"/>
        <w:gridCol w:w="2459"/>
        <w:gridCol w:w="4370"/>
      </w:tblGrid>
      <w:tr w14:paraId="45FF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789" w:type="dxa"/>
            <w:vAlign w:val="center"/>
          </w:tcPr>
          <w:p w14:paraId="340ED6A8">
            <w:pPr>
              <w:snapToGrid w:val="0"/>
              <w:spacing w:after="0"/>
              <w:rPr>
                <w:rFonts w:cs="宋体" w:asciiTheme="majorEastAsia" w:hAnsiTheme="majorEastAsia" w:eastAsiaTheme="majorEastAsia"/>
                <w:b/>
                <w:bCs/>
                <w:sz w:val="24"/>
                <w:szCs w:val="24"/>
                <w:highlight w:val="none"/>
              </w:rPr>
            </w:pPr>
            <w:r>
              <w:rPr>
                <w:rFonts w:hint="eastAsia" w:cs="宋体" w:asciiTheme="majorEastAsia" w:hAnsiTheme="majorEastAsia" w:eastAsiaTheme="majorEastAsia"/>
                <w:b/>
                <w:bCs/>
                <w:sz w:val="24"/>
                <w:szCs w:val="24"/>
                <w:highlight w:val="none"/>
              </w:rPr>
              <w:t>系统名称</w:t>
            </w:r>
          </w:p>
        </w:tc>
        <w:tc>
          <w:tcPr>
            <w:tcW w:w="2459" w:type="dxa"/>
            <w:vAlign w:val="center"/>
          </w:tcPr>
          <w:p w14:paraId="65FF4E76">
            <w:pPr>
              <w:snapToGrid w:val="0"/>
              <w:spacing w:after="0"/>
              <w:rPr>
                <w:rFonts w:cs="宋体" w:asciiTheme="majorEastAsia" w:hAnsiTheme="majorEastAsia" w:eastAsiaTheme="majorEastAsia"/>
                <w:b/>
                <w:bCs/>
                <w:sz w:val="24"/>
                <w:szCs w:val="24"/>
                <w:highlight w:val="none"/>
              </w:rPr>
            </w:pPr>
            <w:r>
              <w:rPr>
                <w:rFonts w:hint="eastAsia" w:cs="宋体" w:asciiTheme="majorEastAsia" w:hAnsiTheme="majorEastAsia" w:eastAsiaTheme="majorEastAsia"/>
                <w:b/>
                <w:bCs/>
                <w:sz w:val="24"/>
                <w:szCs w:val="24"/>
                <w:highlight w:val="none"/>
              </w:rPr>
              <w:t>系统功能</w:t>
            </w:r>
          </w:p>
        </w:tc>
        <w:tc>
          <w:tcPr>
            <w:tcW w:w="4370" w:type="dxa"/>
            <w:vAlign w:val="center"/>
          </w:tcPr>
          <w:p w14:paraId="444C28E7">
            <w:pPr>
              <w:snapToGrid w:val="0"/>
              <w:spacing w:after="0"/>
              <w:rPr>
                <w:rFonts w:cs="宋体" w:asciiTheme="majorEastAsia" w:hAnsiTheme="majorEastAsia" w:eastAsiaTheme="majorEastAsia"/>
                <w:b/>
                <w:bCs/>
                <w:sz w:val="24"/>
                <w:szCs w:val="24"/>
                <w:highlight w:val="none"/>
              </w:rPr>
            </w:pPr>
            <w:r>
              <w:rPr>
                <w:rFonts w:hint="eastAsia" w:cs="宋体" w:asciiTheme="majorEastAsia" w:hAnsiTheme="majorEastAsia" w:eastAsiaTheme="majorEastAsia"/>
                <w:b/>
                <w:bCs/>
                <w:sz w:val="24"/>
                <w:szCs w:val="24"/>
                <w:highlight w:val="none"/>
              </w:rPr>
              <w:t>功能模块名称</w:t>
            </w:r>
          </w:p>
        </w:tc>
      </w:tr>
      <w:tr w14:paraId="1729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789" w:type="dxa"/>
            <w:vMerge w:val="restart"/>
            <w:vAlign w:val="center"/>
          </w:tcPr>
          <w:p w14:paraId="7E5C670A">
            <w:pPr>
              <w:snapToGrid w:val="0"/>
              <w:spacing w:after="0"/>
              <w:rPr>
                <w:rFonts w:cs="宋体" w:asciiTheme="majorEastAsia" w:hAnsiTheme="majorEastAsia" w:eastAsiaTheme="majorEastAsia"/>
                <w:sz w:val="24"/>
                <w:szCs w:val="24"/>
                <w:highlight w:val="none"/>
              </w:rPr>
            </w:pPr>
          </w:p>
          <w:p w14:paraId="066192DE">
            <w:pPr>
              <w:snapToGrid w:val="0"/>
              <w:spacing w:after="0"/>
              <w:rPr>
                <w:rFonts w:cs="宋体" w:asciiTheme="majorEastAsia" w:hAnsiTheme="majorEastAsia" w:eastAsiaTheme="majorEastAsia"/>
                <w:sz w:val="24"/>
                <w:szCs w:val="24"/>
                <w:highlight w:val="none"/>
              </w:rPr>
            </w:pPr>
          </w:p>
          <w:p w14:paraId="5CFF9428">
            <w:pPr>
              <w:snapToGrid w:val="0"/>
              <w:spacing w:after="0"/>
              <w:rPr>
                <w:rFonts w:cs="宋体" w:asciiTheme="majorEastAsia" w:hAnsiTheme="majorEastAsia" w:eastAsiaTheme="majorEastAsia"/>
                <w:sz w:val="24"/>
                <w:szCs w:val="24"/>
                <w:highlight w:val="none"/>
              </w:rPr>
            </w:pPr>
          </w:p>
          <w:p w14:paraId="7C24B330">
            <w:pPr>
              <w:snapToGrid w:val="0"/>
              <w:spacing w:after="0"/>
              <w:rPr>
                <w:rFonts w:cs="宋体" w:asciiTheme="majorEastAsia" w:hAnsiTheme="majorEastAsia" w:eastAsiaTheme="majorEastAsia"/>
                <w:sz w:val="24"/>
                <w:szCs w:val="24"/>
                <w:highlight w:val="none"/>
              </w:rPr>
            </w:pPr>
          </w:p>
          <w:p w14:paraId="21D44845">
            <w:pPr>
              <w:snapToGrid w:val="0"/>
              <w:spacing w:after="0"/>
              <w:rPr>
                <w:rFonts w:cs="宋体" w:asciiTheme="majorEastAsia" w:hAnsiTheme="majorEastAsia" w:eastAsiaTheme="majorEastAsia"/>
                <w:sz w:val="24"/>
                <w:szCs w:val="24"/>
                <w:highlight w:val="none"/>
              </w:rPr>
            </w:pPr>
          </w:p>
          <w:p w14:paraId="6407BD15">
            <w:pPr>
              <w:snapToGrid w:val="0"/>
              <w:spacing w:after="0"/>
              <w:rPr>
                <w:rFonts w:cs="宋体" w:asciiTheme="majorEastAsia" w:hAnsiTheme="majorEastAsia" w:eastAsiaTheme="majorEastAsia"/>
                <w:sz w:val="24"/>
                <w:szCs w:val="24"/>
                <w:highlight w:val="none"/>
              </w:rPr>
            </w:pPr>
          </w:p>
          <w:p w14:paraId="19FC93D8">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医保综合管理系统</w:t>
            </w:r>
          </w:p>
        </w:tc>
        <w:tc>
          <w:tcPr>
            <w:tcW w:w="2459" w:type="dxa"/>
            <w:vMerge w:val="restart"/>
            <w:vAlign w:val="center"/>
          </w:tcPr>
          <w:p w14:paraId="3ED3FB90">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事中控费管理</w:t>
            </w:r>
          </w:p>
        </w:tc>
        <w:tc>
          <w:tcPr>
            <w:tcW w:w="4370" w:type="dxa"/>
            <w:vAlign w:val="center"/>
          </w:tcPr>
          <w:p w14:paraId="07D4154B">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智能提醒（ＤＩＰ助手）</w:t>
            </w:r>
          </w:p>
        </w:tc>
      </w:tr>
      <w:tr w14:paraId="1AAC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D208F4E">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63BEC7BF">
            <w:pPr>
              <w:snapToGrid w:val="0"/>
              <w:spacing w:after="0"/>
              <w:rPr>
                <w:rFonts w:cs="宋体" w:asciiTheme="majorEastAsia" w:hAnsiTheme="majorEastAsia" w:eastAsiaTheme="majorEastAsia"/>
                <w:sz w:val="24"/>
                <w:szCs w:val="24"/>
                <w:highlight w:val="none"/>
              </w:rPr>
            </w:pPr>
          </w:p>
        </w:tc>
        <w:tc>
          <w:tcPr>
            <w:tcW w:w="4370" w:type="dxa"/>
            <w:vAlign w:val="center"/>
          </w:tcPr>
          <w:p w14:paraId="04F9961F">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ＤＩＰ配置管理</w:t>
            </w:r>
          </w:p>
        </w:tc>
      </w:tr>
      <w:tr w14:paraId="33BB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47A5778D">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3C0951F3">
            <w:pPr>
              <w:snapToGrid w:val="0"/>
              <w:spacing w:after="0"/>
              <w:rPr>
                <w:rFonts w:cs="宋体" w:asciiTheme="majorEastAsia" w:hAnsiTheme="majorEastAsia" w:eastAsiaTheme="majorEastAsia"/>
                <w:sz w:val="24"/>
                <w:szCs w:val="24"/>
                <w:highlight w:val="none"/>
              </w:rPr>
            </w:pPr>
          </w:p>
        </w:tc>
        <w:tc>
          <w:tcPr>
            <w:tcW w:w="4370" w:type="dxa"/>
            <w:vAlign w:val="center"/>
          </w:tcPr>
          <w:p w14:paraId="5CC77B6D">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在院患者监控首页</w:t>
            </w:r>
          </w:p>
        </w:tc>
      </w:tr>
      <w:tr w14:paraId="3FB5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01FE8ABC">
            <w:pPr>
              <w:snapToGrid w:val="0"/>
              <w:spacing w:after="0"/>
              <w:rPr>
                <w:rFonts w:cs="宋体" w:asciiTheme="majorEastAsia" w:hAnsiTheme="majorEastAsia" w:eastAsiaTheme="majorEastAsia"/>
                <w:sz w:val="24"/>
                <w:szCs w:val="24"/>
                <w:highlight w:val="none"/>
              </w:rPr>
            </w:pPr>
          </w:p>
        </w:tc>
        <w:tc>
          <w:tcPr>
            <w:tcW w:w="2459" w:type="dxa"/>
            <w:vMerge w:val="restart"/>
            <w:vAlign w:val="center"/>
          </w:tcPr>
          <w:p w14:paraId="54766E43">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ＤＩＰ精细化分析</w:t>
            </w:r>
          </w:p>
        </w:tc>
        <w:tc>
          <w:tcPr>
            <w:tcW w:w="4370" w:type="dxa"/>
            <w:vAlign w:val="center"/>
          </w:tcPr>
          <w:p w14:paraId="11F5EC43">
            <w:pPr>
              <w:snapToGrid w:val="0"/>
              <w:spacing w:after="0"/>
              <w:rPr>
                <w:rFonts w:cs="宋体" w:asciiTheme="majorEastAsia" w:hAnsiTheme="majorEastAsia" w:eastAsiaTheme="majorEastAsia"/>
                <w:sz w:val="24"/>
                <w:szCs w:val="24"/>
                <w:highlight w:val="none"/>
                <w:lang w:eastAsia="zh-CN"/>
              </w:rPr>
            </w:pPr>
            <w:r>
              <w:rPr>
                <w:rFonts w:hint="eastAsia" w:cs="宋体" w:asciiTheme="majorEastAsia" w:hAnsiTheme="majorEastAsia" w:eastAsiaTheme="majorEastAsia"/>
                <w:sz w:val="24"/>
                <w:szCs w:val="24"/>
                <w:highlight w:val="none"/>
                <w:lang w:eastAsia="zh-CN"/>
              </w:rPr>
              <w:t>ＤＩＰ核心指标监控分析</w:t>
            </w:r>
          </w:p>
        </w:tc>
      </w:tr>
      <w:tr w14:paraId="1F10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3B5CA6AC">
            <w:pPr>
              <w:snapToGrid w:val="0"/>
              <w:spacing w:after="0"/>
              <w:rPr>
                <w:rFonts w:cs="宋体" w:asciiTheme="majorEastAsia" w:hAnsiTheme="majorEastAsia" w:eastAsiaTheme="majorEastAsia"/>
                <w:sz w:val="24"/>
                <w:szCs w:val="24"/>
                <w:highlight w:val="none"/>
                <w:lang w:eastAsia="zh-CN"/>
              </w:rPr>
            </w:pPr>
          </w:p>
        </w:tc>
        <w:tc>
          <w:tcPr>
            <w:tcW w:w="2459" w:type="dxa"/>
            <w:vMerge w:val="continue"/>
            <w:vAlign w:val="center"/>
          </w:tcPr>
          <w:p w14:paraId="570396D1">
            <w:pPr>
              <w:snapToGrid w:val="0"/>
              <w:spacing w:after="0"/>
              <w:rPr>
                <w:rFonts w:cs="宋体" w:asciiTheme="majorEastAsia" w:hAnsiTheme="majorEastAsia" w:eastAsiaTheme="majorEastAsia"/>
                <w:sz w:val="24"/>
                <w:szCs w:val="24"/>
                <w:highlight w:val="none"/>
                <w:lang w:eastAsia="zh-CN"/>
              </w:rPr>
            </w:pPr>
          </w:p>
        </w:tc>
        <w:tc>
          <w:tcPr>
            <w:tcW w:w="4370" w:type="dxa"/>
            <w:vAlign w:val="center"/>
          </w:tcPr>
          <w:p w14:paraId="59AFDE75">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医保运营情况分析</w:t>
            </w:r>
          </w:p>
        </w:tc>
      </w:tr>
      <w:tr w14:paraId="7639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084CBC6">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1A8E6E9E">
            <w:pPr>
              <w:snapToGrid w:val="0"/>
              <w:spacing w:after="0"/>
              <w:rPr>
                <w:rFonts w:cs="宋体" w:asciiTheme="majorEastAsia" w:hAnsiTheme="majorEastAsia" w:eastAsiaTheme="majorEastAsia"/>
                <w:sz w:val="24"/>
                <w:szCs w:val="24"/>
                <w:highlight w:val="none"/>
              </w:rPr>
            </w:pPr>
          </w:p>
        </w:tc>
        <w:tc>
          <w:tcPr>
            <w:tcW w:w="4370" w:type="dxa"/>
            <w:vAlign w:val="center"/>
          </w:tcPr>
          <w:p w14:paraId="367D2147">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费用情况分析</w:t>
            </w:r>
          </w:p>
        </w:tc>
      </w:tr>
      <w:tr w14:paraId="0C57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68D81E7C">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78C4CCBE">
            <w:pPr>
              <w:snapToGrid w:val="0"/>
              <w:spacing w:after="0"/>
              <w:rPr>
                <w:rFonts w:cs="宋体" w:asciiTheme="majorEastAsia" w:hAnsiTheme="majorEastAsia" w:eastAsiaTheme="majorEastAsia"/>
                <w:sz w:val="24"/>
                <w:szCs w:val="24"/>
                <w:highlight w:val="none"/>
              </w:rPr>
            </w:pPr>
          </w:p>
        </w:tc>
        <w:tc>
          <w:tcPr>
            <w:tcW w:w="4370" w:type="dxa"/>
            <w:vAlign w:val="center"/>
          </w:tcPr>
          <w:p w14:paraId="7E85EA1B">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报表配置管理</w:t>
            </w:r>
          </w:p>
        </w:tc>
      </w:tr>
      <w:tr w14:paraId="0994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5082AFB8">
            <w:pPr>
              <w:snapToGrid w:val="0"/>
              <w:spacing w:after="0"/>
              <w:rPr>
                <w:rFonts w:cs="宋体" w:asciiTheme="majorEastAsia" w:hAnsiTheme="majorEastAsia" w:eastAsiaTheme="majorEastAsia"/>
                <w:sz w:val="24"/>
                <w:szCs w:val="24"/>
                <w:highlight w:val="none"/>
              </w:rPr>
            </w:pPr>
          </w:p>
        </w:tc>
        <w:tc>
          <w:tcPr>
            <w:tcW w:w="2459" w:type="dxa"/>
            <w:vMerge w:val="restart"/>
            <w:vAlign w:val="center"/>
          </w:tcPr>
          <w:p w14:paraId="3071D1F8">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结算清单管理</w:t>
            </w:r>
          </w:p>
        </w:tc>
        <w:tc>
          <w:tcPr>
            <w:tcW w:w="4370" w:type="dxa"/>
            <w:vAlign w:val="center"/>
          </w:tcPr>
          <w:p w14:paraId="0C655B25">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质控管理</w:t>
            </w:r>
          </w:p>
        </w:tc>
      </w:tr>
      <w:tr w14:paraId="558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955804E">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4FA47F72">
            <w:pPr>
              <w:snapToGrid w:val="0"/>
              <w:spacing w:after="0"/>
              <w:rPr>
                <w:rFonts w:cs="宋体" w:asciiTheme="majorEastAsia" w:hAnsiTheme="majorEastAsia" w:eastAsiaTheme="majorEastAsia"/>
                <w:sz w:val="24"/>
                <w:szCs w:val="24"/>
                <w:highlight w:val="none"/>
              </w:rPr>
            </w:pPr>
          </w:p>
        </w:tc>
        <w:tc>
          <w:tcPr>
            <w:tcW w:w="4370" w:type="dxa"/>
            <w:vAlign w:val="center"/>
          </w:tcPr>
          <w:p w14:paraId="7327FB54">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结算清单质控首页</w:t>
            </w:r>
          </w:p>
        </w:tc>
      </w:tr>
      <w:tr w14:paraId="54A0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A312C90">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1FEA44E3">
            <w:pPr>
              <w:snapToGrid w:val="0"/>
              <w:spacing w:after="0"/>
              <w:rPr>
                <w:rFonts w:cs="宋体" w:asciiTheme="majorEastAsia" w:hAnsiTheme="majorEastAsia" w:eastAsiaTheme="majorEastAsia"/>
                <w:sz w:val="24"/>
                <w:szCs w:val="24"/>
                <w:highlight w:val="none"/>
              </w:rPr>
            </w:pPr>
          </w:p>
        </w:tc>
        <w:tc>
          <w:tcPr>
            <w:tcW w:w="4370" w:type="dxa"/>
            <w:vAlign w:val="center"/>
          </w:tcPr>
          <w:p w14:paraId="7C99DCFE">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质控规则管理</w:t>
            </w:r>
          </w:p>
        </w:tc>
      </w:tr>
      <w:tr w14:paraId="514F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65823F6C">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3B7B4B2C">
            <w:pPr>
              <w:snapToGrid w:val="0"/>
              <w:spacing w:after="0"/>
              <w:rPr>
                <w:rFonts w:cs="宋体" w:asciiTheme="majorEastAsia" w:hAnsiTheme="majorEastAsia" w:eastAsiaTheme="majorEastAsia"/>
                <w:sz w:val="24"/>
                <w:szCs w:val="24"/>
                <w:highlight w:val="none"/>
              </w:rPr>
            </w:pPr>
          </w:p>
        </w:tc>
        <w:tc>
          <w:tcPr>
            <w:tcW w:w="4370" w:type="dxa"/>
            <w:vAlign w:val="center"/>
          </w:tcPr>
          <w:p w14:paraId="258FB6C1">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归档清单</w:t>
            </w:r>
          </w:p>
        </w:tc>
      </w:tr>
      <w:tr w14:paraId="7493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4D996223">
            <w:pPr>
              <w:snapToGrid w:val="0"/>
              <w:spacing w:after="0"/>
              <w:rPr>
                <w:rFonts w:cs="宋体" w:asciiTheme="majorEastAsia" w:hAnsiTheme="majorEastAsia" w:eastAsiaTheme="majorEastAsia"/>
                <w:sz w:val="24"/>
                <w:szCs w:val="24"/>
                <w:highlight w:val="none"/>
              </w:rPr>
            </w:pPr>
          </w:p>
        </w:tc>
        <w:tc>
          <w:tcPr>
            <w:tcW w:w="2459" w:type="dxa"/>
            <w:vMerge w:val="restart"/>
            <w:vAlign w:val="center"/>
          </w:tcPr>
          <w:p w14:paraId="5272087F">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违规监管</w:t>
            </w:r>
          </w:p>
        </w:tc>
        <w:tc>
          <w:tcPr>
            <w:tcW w:w="4370" w:type="dxa"/>
            <w:vAlign w:val="center"/>
          </w:tcPr>
          <w:p w14:paraId="7CD6B1D1">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疾病审核知识库</w:t>
            </w:r>
          </w:p>
        </w:tc>
      </w:tr>
      <w:tr w14:paraId="6BD4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739AB69E">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1FB70C5D">
            <w:pPr>
              <w:snapToGrid w:val="0"/>
              <w:spacing w:after="0"/>
              <w:rPr>
                <w:rFonts w:cs="宋体" w:asciiTheme="majorEastAsia" w:hAnsiTheme="majorEastAsia" w:eastAsiaTheme="majorEastAsia"/>
                <w:sz w:val="24"/>
                <w:szCs w:val="24"/>
                <w:highlight w:val="none"/>
              </w:rPr>
            </w:pPr>
          </w:p>
        </w:tc>
        <w:tc>
          <w:tcPr>
            <w:tcW w:w="4370" w:type="dxa"/>
            <w:vAlign w:val="center"/>
          </w:tcPr>
          <w:p w14:paraId="47112DE3">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诊疗审核知识库</w:t>
            </w:r>
          </w:p>
        </w:tc>
      </w:tr>
      <w:tr w14:paraId="723C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71DD2C1A">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046CB56C">
            <w:pPr>
              <w:snapToGrid w:val="0"/>
              <w:spacing w:after="0"/>
              <w:rPr>
                <w:rFonts w:cs="宋体" w:asciiTheme="majorEastAsia" w:hAnsiTheme="majorEastAsia" w:eastAsiaTheme="majorEastAsia"/>
                <w:sz w:val="24"/>
                <w:szCs w:val="24"/>
                <w:highlight w:val="none"/>
              </w:rPr>
            </w:pPr>
          </w:p>
        </w:tc>
        <w:tc>
          <w:tcPr>
            <w:tcW w:w="4370" w:type="dxa"/>
            <w:vAlign w:val="center"/>
          </w:tcPr>
          <w:p w14:paraId="255D360E">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规则设计器</w:t>
            </w:r>
          </w:p>
        </w:tc>
      </w:tr>
      <w:tr w14:paraId="4FFE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54DD5BF5">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397F7B01">
            <w:pPr>
              <w:snapToGrid w:val="0"/>
              <w:spacing w:after="0"/>
              <w:rPr>
                <w:rFonts w:cs="宋体" w:asciiTheme="majorEastAsia" w:hAnsiTheme="majorEastAsia" w:eastAsiaTheme="majorEastAsia"/>
                <w:sz w:val="24"/>
                <w:szCs w:val="24"/>
                <w:highlight w:val="none"/>
              </w:rPr>
            </w:pPr>
          </w:p>
        </w:tc>
        <w:tc>
          <w:tcPr>
            <w:tcW w:w="4370" w:type="dxa"/>
            <w:vAlign w:val="center"/>
          </w:tcPr>
          <w:p w14:paraId="7858B4AC">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实时智能审核监控</w:t>
            </w:r>
          </w:p>
        </w:tc>
      </w:tr>
      <w:tr w14:paraId="30E3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DE6AC2E">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52DFAB5C">
            <w:pPr>
              <w:snapToGrid w:val="0"/>
              <w:spacing w:after="0"/>
              <w:rPr>
                <w:rFonts w:cs="宋体" w:asciiTheme="majorEastAsia" w:hAnsiTheme="majorEastAsia" w:eastAsiaTheme="majorEastAsia"/>
                <w:sz w:val="24"/>
                <w:szCs w:val="24"/>
                <w:highlight w:val="none"/>
              </w:rPr>
            </w:pPr>
          </w:p>
        </w:tc>
        <w:tc>
          <w:tcPr>
            <w:tcW w:w="4370" w:type="dxa"/>
            <w:vAlign w:val="center"/>
          </w:tcPr>
          <w:p w14:paraId="1187DE7E">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事后违规审核</w:t>
            </w:r>
          </w:p>
        </w:tc>
      </w:tr>
      <w:tr w14:paraId="0D3E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43B97991">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52B67FED">
            <w:pPr>
              <w:snapToGrid w:val="0"/>
              <w:spacing w:after="0"/>
              <w:rPr>
                <w:rFonts w:cs="宋体" w:asciiTheme="majorEastAsia" w:hAnsiTheme="majorEastAsia" w:eastAsiaTheme="majorEastAsia"/>
                <w:sz w:val="24"/>
                <w:szCs w:val="24"/>
                <w:highlight w:val="none"/>
              </w:rPr>
            </w:pPr>
          </w:p>
        </w:tc>
        <w:tc>
          <w:tcPr>
            <w:tcW w:w="4370" w:type="dxa"/>
            <w:vAlign w:val="center"/>
          </w:tcPr>
          <w:p w14:paraId="65FE61C5">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全院违规监控首页</w:t>
            </w:r>
          </w:p>
        </w:tc>
      </w:tr>
      <w:tr w14:paraId="7ED5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50A1A0FF">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73CD9B17">
            <w:pPr>
              <w:snapToGrid w:val="0"/>
              <w:spacing w:after="0"/>
              <w:rPr>
                <w:rFonts w:cs="宋体" w:asciiTheme="majorEastAsia" w:hAnsiTheme="majorEastAsia" w:eastAsiaTheme="majorEastAsia"/>
                <w:sz w:val="24"/>
                <w:szCs w:val="24"/>
                <w:highlight w:val="none"/>
              </w:rPr>
            </w:pPr>
          </w:p>
        </w:tc>
        <w:tc>
          <w:tcPr>
            <w:tcW w:w="4370" w:type="dxa"/>
            <w:vAlign w:val="center"/>
          </w:tcPr>
          <w:p w14:paraId="798575FF">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申述原因管理</w:t>
            </w:r>
          </w:p>
        </w:tc>
      </w:tr>
      <w:tr w14:paraId="4E81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4A7F4547">
            <w:pPr>
              <w:snapToGrid w:val="0"/>
              <w:spacing w:after="0"/>
              <w:rPr>
                <w:rFonts w:cs="宋体" w:asciiTheme="majorEastAsia" w:hAnsiTheme="majorEastAsia" w:eastAsiaTheme="majorEastAsia"/>
                <w:sz w:val="24"/>
                <w:szCs w:val="24"/>
                <w:highlight w:val="none"/>
              </w:rPr>
            </w:pPr>
          </w:p>
        </w:tc>
        <w:tc>
          <w:tcPr>
            <w:tcW w:w="2459" w:type="dxa"/>
            <w:vAlign w:val="center"/>
          </w:tcPr>
          <w:p w14:paraId="322FD6B6">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政策知识库</w:t>
            </w:r>
          </w:p>
        </w:tc>
        <w:tc>
          <w:tcPr>
            <w:tcW w:w="4370" w:type="dxa"/>
            <w:vAlign w:val="center"/>
          </w:tcPr>
          <w:p w14:paraId="33CAB402">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广东省政策查询</w:t>
            </w:r>
          </w:p>
        </w:tc>
      </w:tr>
      <w:tr w14:paraId="3665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13145901">
            <w:pPr>
              <w:snapToGrid w:val="0"/>
              <w:spacing w:after="0"/>
              <w:rPr>
                <w:rFonts w:cs="宋体" w:asciiTheme="majorEastAsia" w:hAnsiTheme="majorEastAsia" w:eastAsiaTheme="majorEastAsia"/>
                <w:sz w:val="24"/>
                <w:szCs w:val="24"/>
                <w:highlight w:val="none"/>
              </w:rPr>
            </w:pPr>
          </w:p>
        </w:tc>
        <w:tc>
          <w:tcPr>
            <w:tcW w:w="2459" w:type="dxa"/>
            <w:vMerge w:val="restart"/>
            <w:vAlign w:val="center"/>
          </w:tcPr>
          <w:p w14:paraId="461AF3E7">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系统管理</w:t>
            </w:r>
          </w:p>
        </w:tc>
        <w:tc>
          <w:tcPr>
            <w:tcW w:w="4370" w:type="dxa"/>
            <w:vAlign w:val="center"/>
          </w:tcPr>
          <w:p w14:paraId="20EC6CCC">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医保字典及映射管理</w:t>
            </w:r>
          </w:p>
        </w:tc>
      </w:tr>
      <w:tr w14:paraId="5DE5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6B667F24">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0B282B19">
            <w:pPr>
              <w:snapToGrid w:val="0"/>
              <w:spacing w:after="0"/>
              <w:rPr>
                <w:rFonts w:cs="宋体" w:asciiTheme="majorEastAsia" w:hAnsiTheme="majorEastAsia" w:eastAsiaTheme="majorEastAsia"/>
                <w:sz w:val="24"/>
                <w:szCs w:val="24"/>
                <w:highlight w:val="none"/>
              </w:rPr>
            </w:pPr>
          </w:p>
        </w:tc>
        <w:tc>
          <w:tcPr>
            <w:tcW w:w="4370" w:type="dxa"/>
            <w:vAlign w:val="center"/>
          </w:tcPr>
          <w:p w14:paraId="78B3EE26">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基础数据</w:t>
            </w:r>
          </w:p>
        </w:tc>
      </w:tr>
      <w:tr w14:paraId="2C1D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 w:hRule="atLeast"/>
        </w:trPr>
        <w:tc>
          <w:tcPr>
            <w:tcW w:w="1789" w:type="dxa"/>
            <w:vMerge w:val="continue"/>
            <w:vAlign w:val="center"/>
          </w:tcPr>
          <w:p w14:paraId="5C2AAE6D">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64E8D0C9">
            <w:pPr>
              <w:snapToGrid w:val="0"/>
              <w:spacing w:after="0"/>
              <w:rPr>
                <w:rFonts w:cs="宋体" w:asciiTheme="majorEastAsia" w:hAnsiTheme="majorEastAsia" w:eastAsiaTheme="majorEastAsia"/>
                <w:sz w:val="24"/>
                <w:szCs w:val="24"/>
                <w:highlight w:val="none"/>
              </w:rPr>
            </w:pPr>
          </w:p>
        </w:tc>
        <w:tc>
          <w:tcPr>
            <w:tcW w:w="4370" w:type="dxa"/>
            <w:vAlign w:val="center"/>
          </w:tcPr>
          <w:p w14:paraId="1AFBB318">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系统管理</w:t>
            </w:r>
          </w:p>
        </w:tc>
      </w:tr>
      <w:tr w14:paraId="76150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trPr>
        <w:tc>
          <w:tcPr>
            <w:tcW w:w="1789" w:type="dxa"/>
            <w:vMerge w:val="continue"/>
            <w:vAlign w:val="center"/>
          </w:tcPr>
          <w:p w14:paraId="0B530970">
            <w:pPr>
              <w:snapToGrid w:val="0"/>
              <w:spacing w:after="0"/>
              <w:rPr>
                <w:rFonts w:cs="宋体" w:asciiTheme="majorEastAsia" w:hAnsiTheme="majorEastAsia" w:eastAsiaTheme="majorEastAsia"/>
                <w:sz w:val="24"/>
                <w:szCs w:val="24"/>
                <w:highlight w:val="none"/>
              </w:rPr>
            </w:pPr>
          </w:p>
        </w:tc>
        <w:tc>
          <w:tcPr>
            <w:tcW w:w="2459" w:type="dxa"/>
            <w:vMerge w:val="continue"/>
            <w:vAlign w:val="center"/>
          </w:tcPr>
          <w:p w14:paraId="2E5586E3">
            <w:pPr>
              <w:snapToGrid w:val="0"/>
              <w:spacing w:after="0"/>
              <w:rPr>
                <w:rFonts w:cs="宋体" w:asciiTheme="majorEastAsia" w:hAnsiTheme="majorEastAsia" w:eastAsiaTheme="majorEastAsia"/>
                <w:sz w:val="24"/>
                <w:szCs w:val="24"/>
                <w:highlight w:val="none"/>
              </w:rPr>
            </w:pPr>
          </w:p>
        </w:tc>
        <w:tc>
          <w:tcPr>
            <w:tcW w:w="4370" w:type="dxa"/>
            <w:vAlign w:val="center"/>
          </w:tcPr>
          <w:p w14:paraId="49A3E686">
            <w:pPr>
              <w:snapToGrid w:val="0"/>
              <w:spacing w:after="0"/>
              <w:rPr>
                <w:rFonts w:cs="宋体" w:asciiTheme="majorEastAsia" w:hAnsiTheme="majorEastAsia" w:eastAsiaTheme="majorEastAsia"/>
                <w:sz w:val="24"/>
                <w:szCs w:val="24"/>
                <w:highlight w:val="none"/>
              </w:rPr>
            </w:pPr>
            <w:r>
              <w:rPr>
                <w:rFonts w:hint="eastAsia" w:cs="宋体" w:asciiTheme="majorEastAsia" w:hAnsiTheme="majorEastAsia" w:eastAsiaTheme="majorEastAsia"/>
                <w:sz w:val="24"/>
                <w:szCs w:val="24"/>
                <w:highlight w:val="none"/>
              </w:rPr>
              <w:t>系统日志</w:t>
            </w:r>
          </w:p>
        </w:tc>
      </w:tr>
    </w:tbl>
    <w:p w14:paraId="110892AA">
      <w:pPr>
        <w:pStyle w:val="2"/>
        <w:numPr>
          <w:ilvl w:val="0"/>
          <w:numId w:val="0"/>
        </w:numPr>
        <w:spacing w:before="156" w:beforeLines="50" w:after="156" w:afterLines="50"/>
        <w:ind w:left="425" w:hanging="425"/>
        <w:rPr>
          <w:rFonts w:ascii="宋体" w:hAnsi="宋体" w:eastAsia="宋体" w:cs="宋体"/>
          <w:sz w:val="32"/>
          <w:szCs w:val="32"/>
          <w:highlight w:val="none"/>
        </w:rPr>
      </w:pPr>
      <w:r>
        <w:rPr>
          <w:rFonts w:hint="eastAsia" w:ascii="宋体" w:hAnsi="宋体" w:eastAsia="宋体" w:cs="宋体"/>
          <w:sz w:val="32"/>
          <w:szCs w:val="32"/>
          <w:highlight w:val="none"/>
        </w:rPr>
        <w:t>五、技术要求</w:t>
      </w:r>
      <w:bookmarkEnd w:id="0"/>
    </w:p>
    <w:p w14:paraId="33DBB3C8">
      <w:pPr>
        <w:pStyle w:val="3"/>
        <w:numPr>
          <w:ilvl w:val="1"/>
          <w:numId w:val="0"/>
        </w:numPr>
        <w:spacing w:before="156" w:beforeLines="50" w:after="156" w:afterLines="50"/>
        <w:rPr>
          <w:rFonts w:ascii="宋体" w:hAnsi="宋体" w:eastAsia="宋体" w:cs="宋体"/>
          <w:sz w:val="28"/>
          <w:szCs w:val="24"/>
          <w:highlight w:val="none"/>
        </w:rPr>
      </w:pPr>
      <w:bookmarkStart w:id="2" w:name="_Toc1458410222"/>
      <w:r>
        <w:rPr>
          <w:rFonts w:hint="eastAsia" w:ascii="宋体" w:hAnsi="宋体" w:eastAsia="宋体" w:cs="宋体"/>
          <w:sz w:val="28"/>
          <w:szCs w:val="28"/>
          <w:highlight w:val="none"/>
        </w:rPr>
        <w:t>5.1</w:t>
      </w:r>
      <w:r>
        <w:rPr>
          <w:rFonts w:hint="eastAsia" w:ascii="宋体" w:hAnsi="宋体" w:eastAsia="宋体" w:cs="宋体"/>
          <w:sz w:val="28"/>
          <w:szCs w:val="24"/>
          <w:highlight w:val="none"/>
        </w:rPr>
        <w:t>需遵循的标准规范</w:t>
      </w:r>
      <w:bookmarkEnd w:id="2"/>
    </w:p>
    <w:p w14:paraId="66F18B96">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由于目前医保局对于医院上传的数据有严格的规范及相关要求，例如《结算清单填写规范》、《国家医疗保障局办公室关于贯彻执行15项医疗保障信息业务编码标准的通知》等文件对医保相关数据有严格要求，同时本项目中需要与医院多个业务系统进行对接，抽取大量与医保相关的信息，然而这些业务系统是由不同厂商在不同时期建立，采用的数据结构、数据类型与数据尺度等各不相同，加之目前医疗信息领域的标准规范尚未完善，因此，为信息集成带来较大的麻烦。因此，本项目建设应制订统一的标准，遵循国际、国内、行业已经颁发的各项信息化建设标准。本项目需遵循以下标准规范：</w:t>
      </w:r>
    </w:p>
    <w:p w14:paraId="0D9A2D3C">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《电子病历基本规范（试行）》</w:t>
      </w:r>
    </w:p>
    <w:p w14:paraId="17E7E95B">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《健康档案共享文档规范》</w:t>
      </w:r>
    </w:p>
    <w:p w14:paraId="446A8F0E">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《住院病案首页数据填写质量规范（暂行）》</w:t>
      </w:r>
    </w:p>
    <w:p w14:paraId="64B9A54F">
      <w:pPr>
        <w:pStyle w:val="12"/>
        <w:spacing w:line="360" w:lineRule="auto"/>
        <w:ind w:firstLine="480" w:firstLineChars="20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ascii="宋体" w:hAnsi="宋体" w:eastAsia="宋体" w:cs="宋体"/>
          <w:sz w:val="24"/>
          <w:szCs w:val="24"/>
          <w:highlight w:val="none"/>
          <w:lang w:eastAsia="zh-CN"/>
        </w:rPr>
        <w:tab/>
      </w:r>
      <w:r>
        <w:rPr>
          <w:rFonts w:ascii="宋体" w:hAnsi="宋体" w:eastAsia="宋体" w:cs="宋体"/>
          <w:sz w:val="24"/>
          <w:szCs w:val="24"/>
          <w:highlight w:val="none"/>
          <w:lang w:eastAsia="zh-CN"/>
        </w:rPr>
        <w:t>ICD9</w:t>
      </w:r>
    </w:p>
    <w:p w14:paraId="6A9ACD0C">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ICD10疾病诊断字典</w:t>
      </w:r>
    </w:p>
    <w:p w14:paraId="2FB900E5">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XML输出标准</w:t>
      </w:r>
    </w:p>
    <w:p w14:paraId="65AA64C2">
      <w:pPr>
        <w:pStyle w:val="12"/>
        <w:spacing w:line="360" w:lineRule="auto"/>
        <w:ind w:firstLine="480" w:firstLineChars="20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7.</w:t>
      </w:r>
      <w:r>
        <w:rPr>
          <w:rFonts w:ascii="宋体" w:hAnsi="宋体" w:eastAsia="宋体" w:cs="宋体"/>
          <w:sz w:val="24"/>
          <w:szCs w:val="24"/>
          <w:highlight w:val="none"/>
          <w:lang w:eastAsia="zh-CN"/>
        </w:rPr>
        <w:tab/>
      </w:r>
      <w:r>
        <w:rPr>
          <w:rFonts w:ascii="宋体" w:hAnsi="宋体" w:eastAsia="宋体" w:cs="宋体"/>
          <w:sz w:val="24"/>
          <w:szCs w:val="24"/>
          <w:highlight w:val="none"/>
          <w:lang w:eastAsia="zh-CN"/>
        </w:rPr>
        <w:t>HL7</w:t>
      </w:r>
    </w:p>
    <w:p w14:paraId="6CED57A1">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DICOM标准</w:t>
      </w:r>
    </w:p>
    <w:p w14:paraId="6746AC18">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9.</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《ISO9000质量体系标准》</w:t>
      </w:r>
    </w:p>
    <w:p w14:paraId="2B222C62">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 GB/T 8567 计算机软件文档编制规范；</w:t>
      </w:r>
    </w:p>
    <w:p w14:paraId="1836C89F">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11. GB/T 9385 计算机软件需求规格说明规范；</w:t>
      </w:r>
    </w:p>
    <w:p w14:paraId="3C72FA43">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12. GB/T 9386 计算机软件测试文档编制规范；</w:t>
      </w:r>
    </w:p>
    <w:p w14:paraId="56296AEF">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13. GB/T 15532 计算机软件测试规范；</w:t>
      </w:r>
    </w:p>
    <w:p w14:paraId="56429FA2">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14. GB/T 28035 软件系统验收规范</w:t>
      </w:r>
    </w:p>
    <w:p w14:paraId="76D33B64">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15. SJ 20822 信息技术软件维护</w:t>
      </w:r>
    </w:p>
    <w:p w14:paraId="5FE944BF">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除此之外，由于目前医疗信息化标准规范尚未统一，对于具体的使用场景标准信息化尚未细化，为此，在本系统建设过程中，还需根据医院的实际情况，自定义设置符合医院实际需求以及系统建设的数据标准。</w:t>
      </w:r>
    </w:p>
    <w:p w14:paraId="25FAD020">
      <w:pPr>
        <w:pStyle w:val="3"/>
        <w:numPr>
          <w:ilvl w:val="1"/>
          <w:numId w:val="0"/>
        </w:numPr>
        <w:spacing w:before="156" w:beforeLines="50" w:after="156" w:afterLines="50"/>
        <w:rPr>
          <w:rFonts w:ascii="宋体" w:hAnsi="宋体" w:eastAsia="宋体" w:cs="宋体"/>
          <w:sz w:val="28"/>
          <w:szCs w:val="24"/>
          <w:highlight w:val="none"/>
        </w:rPr>
      </w:pPr>
      <w:bookmarkStart w:id="3" w:name="四、技术要求"/>
      <w:bookmarkEnd w:id="3"/>
      <w:bookmarkStart w:id="4" w:name="_Toc122254296"/>
      <w:r>
        <w:rPr>
          <w:rFonts w:hint="eastAsia" w:ascii="宋体" w:hAnsi="宋体" w:eastAsia="宋体" w:cs="宋体"/>
          <w:sz w:val="28"/>
          <w:szCs w:val="28"/>
          <w:highlight w:val="none"/>
        </w:rPr>
        <w:t>5.2</w:t>
      </w:r>
      <w:r>
        <w:rPr>
          <w:rFonts w:hint="eastAsia" w:ascii="宋体" w:hAnsi="宋体" w:eastAsia="宋体" w:cs="宋体"/>
          <w:sz w:val="28"/>
          <w:szCs w:val="24"/>
          <w:highlight w:val="none"/>
        </w:rPr>
        <w:t>总体技术要求</w:t>
      </w:r>
      <w:bookmarkEnd w:id="4"/>
    </w:p>
    <w:p w14:paraId="602A4413">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服务器需采用相当于Unix、Linux、Windows等主流操作系统。</w:t>
      </w:r>
    </w:p>
    <w:p w14:paraId="371AB276">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应用展现需采用主流的浏览器，包括但不限于Chrome、Safari等；</w:t>
      </w:r>
    </w:p>
    <w:p w14:paraId="066AB3F6">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系统需采用B/S架构，纯Web操作环境，输入URL地址，即可访问。</w:t>
      </w:r>
    </w:p>
    <w:p w14:paraId="0A010F6D">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开发语言：JAVA、C#、</w:t>
      </w:r>
      <w:r>
        <w:rPr>
          <w:rFonts w:ascii="宋体" w:hAnsi="宋体" w:eastAsia="宋体" w:cs="宋体"/>
          <w:sz w:val="24"/>
          <w:szCs w:val="24"/>
          <w:highlight w:val="none"/>
          <w:lang w:eastAsia="zh-CN"/>
        </w:rPr>
        <w:t>P</w:t>
      </w:r>
      <w:r>
        <w:rPr>
          <w:rFonts w:hint="eastAsia" w:ascii="宋体" w:hAnsi="宋体" w:eastAsia="宋体" w:cs="宋体"/>
          <w:sz w:val="24"/>
          <w:szCs w:val="24"/>
          <w:highlight w:val="none"/>
          <w:lang w:eastAsia="zh-CN"/>
        </w:rPr>
        <w:t>ython等主流开发语言；</w:t>
      </w:r>
    </w:p>
    <w:p w14:paraId="197AEF5B">
      <w:pPr>
        <w:pStyle w:val="12"/>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 数据库：Oracle、SQL Server、MySQL、Postgresql等数据库；</w:t>
      </w:r>
    </w:p>
    <w:p w14:paraId="010CE8D2">
      <w:pPr>
        <w:pStyle w:val="3"/>
        <w:numPr>
          <w:ilvl w:val="1"/>
          <w:numId w:val="0"/>
        </w:numPr>
        <w:spacing w:before="156" w:beforeLines="50" w:after="156" w:afterLines="50"/>
        <w:rPr>
          <w:rFonts w:ascii="宋体" w:hAnsi="宋体" w:eastAsia="宋体" w:cs="宋体"/>
          <w:sz w:val="28"/>
          <w:szCs w:val="24"/>
          <w:highlight w:val="none"/>
        </w:rPr>
      </w:pPr>
      <w:bookmarkStart w:id="5" w:name="_Toc1474977531"/>
      <w:r>
        <w:rPr>
          <w:rFonts w:hint="eastAsia" w:ascii="宋体" w:hAnsi="宋体" w:eastAsia="宋体" w:cs="宋体"/>
          <w:sz w:val="28"/>
          <w:szCs w:val="28"/>
          <w:highlight w:val="none"/>
        </w:rPr>
        <w:t>5.3</w:t>
      </w:r>
      <w:r>
        <w:rPr>
          <w:rFonts w:hint="eastAsia" w:ascii="宋体" w:hAnsi="宋体" w:eastAsia="宋体" w:cs="宋体"/>
          <w:sz w:val="28"/>
          <w:szCs w:val="24"/>
          <w:highlight w:val="none"/>
        </w:rPr>
        <w:t>数据处理要求</w:t>
      </w:r>
    </w:p>
    <w:p w14:paraId="3827E3CB">
      <w:pPr>
        <w:autoSpaceDE w:val="0"/>
        <w:autoSpaceDN w:val="0"/>
        <w:snapToGrid w:val="0"/>
        <w:spacing w:after="0"/>
        <w:ind w:firstLine="426" w:firstLineChars="177"/>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1.</w:t>
      </w:r>
      <w:r>
        <w:rPr>
          <w:rFonts w:hint="eastAsia" w:ascii="宋体" w:hAnsi="宋体" w:eastAsia="宋体" w:cs="宋体"/>
          <w:b/>
          <w:bCs/>
          <w:sz w:val="24"/>
          <w:szCs w:val="24"/>
          <w:highlight w:val="none"/>
          <w:lang w:eastAsia="zh-CN"/>
        </w:rPr>
        <w:tab/>
      </w:r>
      <w:r>
        <w:rPr>
          <w:rFonts w:hint="eastAsia" w:ascii="宋体" w:hAnsi="宋体" w:eastAsia="宋体" w:cs="宋体"/>
          <w:b/>
          <w:bCs/>
          <w:sz w:val="24"/>
          <w:szCs w:val="24"/>
          <w:highlight w:val="none"/>
          <w:lang w:eastAsia="zh-CN"/>
        </w:rPr>
        <w:t>数据源管理</w:t>
      </w:r>
    </w:p>
    <w:p w14:paraId="0A465AA4">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支持对目前市面上各类数据库的数据源进行采集，包括Mysql、Postgresql、Clickhouse、Oracle、Sqlserver、DB2、Starrocks接口等；</w:t>
      </w:r>
    </w:p>
    <w:p w14:paraId="793AC3CD">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支持对数据源的创建，包括数据源类型、数据源名称、描述、IP主机名、端口、用户名、数据库等；</w:t>
      </w:r>
    </w:p>
    <w:p w14:paraId="5914AA8D">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支持对整个系统所有的数据源进行统一展示与管理，包括新增、删除、修改的设置，管理员可点击查看数据源的详细信息；</w:t>
      </w:r>
    </w:p>
    <w:p w14:paraId="49151261">
      <w:pPr>
        <w:autoSpaceDE w:val="0"/>
        <w:autoSpaceDN w:val="0"/>
        <w:snapToGrid w:val="0"/>
        <w:spacing w:after="0"/>
        <w:ind w:firstLine="426" w:firstLineChars="177"/>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2.</w:t>
      </w:r>
      <w:r>
        <w:rPr>
          <w:rFonts w:hint="eastAsia" w:ascii="宋体" w:hAnsi="宋体" w:eastAsia="宋体" w:cs="宋体"/>
          <w:b/>
          <w:bCs/>
          <w:sz w:val="24"/>
          <w:szCs w:val="24"/>
          <w:highlight w:val="none"/>
          <w:lang w:eastAsia="zh-CN"/>
        </w:rPr>
        <w:tab/>
      </w:r>
      <w:r>
        <w:rPr>
          <w:rFonts w:hint="eastAsia" w:ascii="宋体" w:hAnsi="宋体" w:eastAsia="宋体" w:cs="宋体"/>
          <w:b/>
          <w:bCs/>
          <w:sz w:val="24"/>
          <w:szCs w:val="24"/>
          <w:highlight w:val="none"/>
          <w:lang w:eastAsia="zh-CN"/>
        </w:rPr>
        <w:t>数据采集与集成</w:t>
      </w:r>
    </w:p>
    <w:p w14:paraId="2053B9C8">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支持批量抽取数据任务，可通过设置数据源类型、数据源以及对应的数据表，即可对源数据进行预览。</w:t>
      </w:r>
    </w:p>
    <w:p w14:paraId="54D3AB9D">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支持数据库表、视图、API接口可视化采集（要求提供产品界面截图作为证明材料）</w:t>
      </w:r>
    </w:p>
    <w:p w14:paraId="74387FF7">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 xml:space="preserve">支持管理员自主选择不同的同步抽取方式、通过SQL设置筛选条件、单次抽取的条数、是否去重； </w:t>
      </w:r>
    </w:p>
    <w:p w14:paraId="5A99AD1F">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w:t>
      </w:r>
      <w:bookmarkStart w:id="6" w:name="_Hlk174116197"/>
      <w:r>
        <w:rPr>
          <w:rFonts w:hint="eastAsia" w:ascii="宋体" w:hAnsi="宋体" w:eastAsia="宋体" w:cs="宋体"/>
          <w:sz w:val="24"/>
          <w:szCs w:val="24"/>
          <w:highlight w:val="none"/>
          <w:lang w:eastAsia="zh-CN"/>
        </w:rPr>
        <w:t>支持通过可视化界面方式设置工作流，系统应提供丰富的组件库，包括离线同步、Shell、Python、Http、Spark、MapReduce等节点组件，通过拖拉的方式即可实现对采集工作流的设置</w:t>
      </w:r>
      <w:bookmarkEnd w:id="6"/>
      <w:r>
        <w:rPr>
          <w:rFonts w:hint="eastAsia" w:ascii="宋体" w:hAnsi="宋体" w:eastAsia="宋体" w:cs="宋体"/>
          <w:sz w:val="24"/>
          <w:szCs w:val="24"/>
          <w:highlight w:val="none"/>
          <w:lang w:eastAsia="zh-CN"/>
        </w:rPr>
        <w:t>（要求提供现场系统演示）；</w:t>
      </w:r>
    </w:p>
    <w:p w14:paraId="74479B30">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ab/>
      </w:r>
      <w:bookmarkStart w:id="7" w:name="OLE_LINK11"/>
      <w:r>
        <w:rPr>
          <w:rFonts w:hint="eastAsia" w:ascii="宋体" w:hAnsi="宋体" w:eastAsia="宋体" w:cs="宋体"/>
          <w:sz w:val="24"/>
          <w:szCs w:val="24"/>
          <w:highlight w:val="none"/>
          <w:lang w:eastAsia="zh-CN"/>
        </w:rPr>
        <w:t>支持数据表的分区、分桶、主键可在页面进行配置</w:t>
      </w:r>
      <w:bookmarkEnd w:id="7"/>
      <w:r>
        <w:rPr>
          <w:rFonts w:hint="eastAsia" w:ascii="宋体" w:hAnsi="宋体" w:eastAsia="宋体" w:cs="宋体"/>
          <w:sz w:val="24"/>
          <w:szCs w:val="24"/>
          <w:highlight w:val="none"/>
          <w:lang w:eastAsia="zh-CN"/>
        </w:rPr>
        <w:t>（要求提供产品界面截图作为证明材料）；</w:t>
      </w:r>
    </w:p>
    <w:p w14:paraId="686ECCF3">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 xml:space="preserve">支持管理人员对工作流的每个节点进行自定义设置，包括节点名称、任务优先级、失败重试次数、是否进行超时预警、数据源、数据库表、同步方式、单次条数等； </w:t>
      </w:r>
    </w:p>
    <w:p w14:paraId="27FD160F">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支持工作流设置完毕后，对其进行保存和格式化，即可对其进行进一步的处理，包括运行、编辑、下线等；</w:t>
      </w:r>
    </w:p>
    <w:p w14:paraId="3AC23D15">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支持对工作流进行定时设置，包括起止时间、定时、通知策略、流程优先级等；</w:t>
      </w:r>
    </w:p>
    <w:p w14:paraId="2960417F">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9)</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支持管理人员对所有工作流进行总览，包括工作流的名称、状态、运行类型、调度时间、开始时间、结束时间、运行时长、运行次数、执行用户等；</w:t>
      </w:r>
    </w:p>
    <w:p w14:paraId="26E4A3AA">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w:t>
      </w:r>
      <w:r>
        <w:rPr>
          <w:rFonts w:hint="eastAsia" w:ascii="宋体" w:hAnsi="宋体" w:eastAsia="宋体" w:cs="宋体"/>
          <w:sz w:val="24"/>
          <w:szCs w:val="24"/>
          <w:highlight w:val="none"/>
          <w:lang w:eastAsia="zh-CN"/>
        </w:rPr>
        <w:tab/>
      </w:r>
      <w:bookmarkStart w:id="8" w:name="_Hlk171515071"/>
      <w:r>
        <w:rPr>
          <w:rFonts w:hint="eastAsia" w:ascii="宋体" w:hAnsi="宋体" w:eastAsia="宋体" w:cs="宋体"/>
          <w:sz w:val="24"/>
          <w:szCs w:val="24"/>
          <w:highlight w:val="none"/>
          <w:lang w:eastAsia="zh-CN"/>
        </w:rPr>
        <w:t>异动处理：数据接口发生变动，源头表自动更新表结构，并保留处理记录</w:t>
      </w:r>
      <w:bookmarkEnd w:id="8"/>
      <w:r>
        <w:rPr>
          <w:rFonts w:hint="eastAsia" w:ascii="宋体" w:hAnsi="宋体" w:eastAsia="宋体" w:cs="宋体"/>
          <w:sz w:val="24"/>
          <w:szCs w:val="24"/>
          <w:highlight w:val="none"/>
          <w:lang w:eastAsia="zh-CN"/>
        </w:rPr>
        <w:t>（要求提供现场系统演示）。</w:t>
      </w:r>
    </w:p>
    <w:p w14:paraId="02C2002E">
      <w:pPr>
        <w:autoSpaceDE w:val="0"/>
        <w:autoSpaceDN w:val="0"/>
        <w:snapToGrid w:val="0"/>
        <w:spacing w:after="0"/>
        <w:ind w:firstLine="426" w:firstLineChars="177"/>
        <w:rPr>
          <w:rFonts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3.</w:t>
      </w:r>
      <w:r>
        <w:rPr>
          <w:rFonts w:hint="eastAsia" w:ascii="宋体" w:hAnsi="宋体" w:eastAsia="宋体" w:cs="宋体"/>
          <w:b/>
          <w:bCs/>
          <w:sz w:val="24"/>
          <w:szCs w:val="24"/>
          <w:highlight w:val="none"/>
          <w:lang w:eastAsia="zh-CN"/>
        </w:rPr>
        <w:tab/>
      </w:r>
      <w:r>
        <w:rPr>
          <w:rFonts w:hint="eastAsia" w:ascii="宋体" w:hAnsi="宋体" w:eastAsia="宋体" w:cs="宋体"/>
          <w:b/>
          <w:bCs/>
          <w:sz w:val="24"/>
          <w:szCs w:val="24"/>
          <w:highlight w:val="none"/>
          <w:lang w:eastAsia="zh-CN"/>
        </w:rPr>
        <w:t>数据处理</w:t>
      </w:r>
    </w:p>
    <w:p w14:paraId="6127A8D9">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ab/>
      </w:r>
      <w:bookmarkStart w:id="9" w:name="_Hlk171515118"/>
      <w:r>
        <w:rPr>
          <w:rFonts w:hint="eastAsia" w:ascii="宋体" w:hAnsi="宋体" w:eastAsia="宋体" w:cs="宋体"/>
          <w:sz w:val="24"/>
          <w:szCs w:val="24"/>
          <w:highlight w:val="none"/>
          <w:lang w:eastAsia="zh-CN"/>
        </w:rPr>
        <w:t>根据数据处理脚本，可自动解析字段级别的血缘关系，直观呈现表和表之间的血缘关系以及每个字段的处理步骤</w:t>
      </w:r>
      <w:bookmarkEnd w:id="9"/>
      <w:r>
        <w:rPr>
          <w:rFonts w:hint="eastAsia" w:ascii="宋体" w:hAnsi="宋体" w:eastAsia="宋体" w:cs="宋体"/>
          <w:sz w:val="24"/>
          <w:szCs w:val="24"/>
          <w:highlight w:val="none"/>
          <w:lang w:eastAsia="zh-CN"/>
        </w:rPr>
        <w:t>（要求提供现场系统演示）；</w:t>
      </w:r>
    </w:p>
    <w:p w14:paraId="08E8F338">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支持对表的各个字段进行快速的初步分析统计，包括最大值、最小值、空值数、独特值技术、字段平均长度、最短最大长度，展示统计结果；</w:t>
      </w:r>
    </w:p>
    <w:p w14:paraId="3552F475">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支持对表作业执行情况，如读写行数、总流量、平均流量等指标，以报表的方式进行汇总分析，管理员可直观地查看每次作业运行的情况；</w:t>
      </w:r>
    </w:p>
    <w:p w14:paraId="272FFF2C">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支持在线调试、试运行数据处理脚本，可在页面预览处理结果（要求提供产品界面截图作为证明材料）</w:t>
      </w:r>
    </w:p>
    <w:p w14:paraId="3D081C8B">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ab/>
      </w:r>
      <w:r>
        <w:rPr>
          <w:rFonts w:hint="eastAsia" w:ascii="宋体" w:hAnsi="宋体" w:eastAsia="宋体" w:cs="宋体"/>
          <w:sz w:val="24"/>
          <w:szCs w:val="24"/>
          <w:highlight w:val="none"/>
          <w:lang w:eastAsia="zh-CN"/>
        </w:rPr>
        <w:t>建立完整的数据质量校验规则，包含空值检查、字典值检查、枚举值检查、区间检查、业务关联性规则检查、规范检查（如手机号、证件号、邮箱等）、重复数据检查、及时性检查、记录缺失检查、自定义脚本检查（要求提供产品界面截图作为证明材料）</w:t>
      </w:r>
    </w:p>
    <w:p w14:paraId="70916FA6">
      <w:pPr>
        <w:autoSpaceDE w:val="0"/>
        <w:autoSpaceDN w:val="0"/>
        <w:snapToGrid w:val="0"/>
        <w:spacing w:after="0"/>
        <w:ind w:firstLine="424" w:firstLineChars="177"/>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w:t>
      </w:r>
      <w:bookmarkStart w:id="10" w:name="_Hlk171515211"/>
      <w:r>
        <w:rPr>
          <w:rFonts w:hint="eastAsia" w:ascii="宋体" w:hAnsi="宋体" w:eastAsia="宋体" w:cs="宋体"/>
          <w:sz w:val="24"/>
          <w:szCs w:val="24"/>
          <w:highlight w:val="none"/>
          <w:lang w:eastAsia="zh-CN"/>
        </w:rPr>
        <w:t>基于数据质量校验规则进行数据治理，生成数据质量报告</w:t>
      </w:r>
      <w:bookmarkEnd w:id="10"/>
      <w:r>
        <w:rPr>
          <w:rFonts w:hint="eastAsia" w:ascii="宋体" w:hAnsi="宋体" w:eastAsia="宋体" w:cs="宋体"/>
          <w:sz w:val="24"/>
          <w:szCs w:val="24"/>
          <w:highlight w:val="none"/>
          <w:lang w:eastAsia="zh-CN"/>
        </w:rPr>
        <w:t>（要求提供产品界面截图作为证明材料）</w:t>
      </w:r>
    </w:p>
    <w:p w14:paraId="42B86667">
      <w:pPr>
        <w:pStyle w:val="3"/>
        <w:numPr>
          <w:ilvl w:val="1"/>
          <w:numId w:val="0"/>
        </w:numPr>
        <w:spacing w:before="156" w:beforeLines="50" w:after="156" w:afterLines="50"/>
        <w:rPr>
          <w:rFonts w:ascii="宋体" w:hAnsi="宋体" w:eastAsia="宋体" w:cs="宋体"/>
          <w:sz w:val="28"/>
          <w:szCs w:val="24"/>
          <w:highlight w:val="none"/>
        </w:rPr>
      </w:pPr>
      <w:r>
        <w:rPr>
          <w:rFonts w:hint="eastAsia" w:ascii="宋体" w:hAnsi="宋体" w:eastAsia="宋体" w:cs="宋体"/>
          <w:sz w:val="28"/>
          <w:szCs w:val="28"/>
          <w:highlight w:val="none"/>
        </w:rPr>
        <w:t>5.4分析展现</w:t>
      </w:r>
      <w:r>
        <w:rPr>
          <w:rFonts w:hint="eastAsia" w:ascii="宋体" w:hAnsi="宋体" w:eastAsia="宋体" w:cs="宋体"/>
          <w:sz w:val="28"/>
          <w:szCs w:val="24"/>
          <w:highlight w:val="none"/>
        </w:rPr>
        <w:t>要求</w:t>
      </w:r>
    </w:p>
    <w:p w14:paraId="1B58DD1C">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应提供可视化报表工具对项目中的各项分析报表进行可视化展现。该可视化报表工具应满足：</w:t>
      </w:r>
    </w:p>
    <w:p w14:paraId="2C3BDF39">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1．数据资源全局监控，包括全局数据资源访问量、各数据看板、大屏、图表访问量，对数据资源访问量、访问次数进行汇总统计，形成统计结果排名（要求提供现场系统演示）；</w:t>
      </w:r>
    </w:p>
    <w:p w14:paraId="177DCE0E">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2．需支持对目前市面上各类数据库的数据源进行采集；</w:t>
      </w:r>
    </w:p>
    <w:p w14:paraId="697F5DFC">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3．需支持在工具内通过编写SQL查询语句从数据源中预览数据，并采用拖动鼠标的操作方式生成数据分析模型，包括设置数据集维度、指标、表达式、过滤条件等；</w:t>
      </w:r>
    </w:p>
    <w:p w14:paraId="6C6D8A03">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4．对接数据集模型，实现报表可视化设计，报表设计需满足不同层级的上下钻取操作，并可在界面上查看生成报表的sql统计语句。</w:t>
      </w:r>
    </w:p>
    <w:p w14:paraId="3F489316">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5. 报表设计需支持多种图表类型，如柱状图、散点图、折线图、雷达图、饼图、漏斗图、极坐标堆叠图、地图、词云图等；</w:t>
      </w:r>
    </w:p>
    <w:p w14:paraId="2CA30632">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6．报表设计需支持对指标的自动二次计算，包括指标格式化、指标汇总、值对比、目标值、各聚合类型计算等。</w:t>
      </w:r>
    </w:p>
    <w:p w14:paraId="207BFD9D">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支持自定义数据隔离，即以维度为最小颗粒度控制数据隔离，可根据不同的用户过滤统计的数据，如展示给不同科室用户的图表统计数据只包含该用户所在科室的数据（要求提供产品界面截图作为证明材料）；</w:t>
      </w:r>
    </w:p>
    <w:p w14:paraId="0099311A">
      <w:pPr>
        <w:pStyle w:val="12"/>
        <w:snapToGrid w:val="0"/>
        <w:spacing w:line="360" w:lineRule="auto"/>
        <w:ind w:firstLine="648" w:firstLineChars="27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用户只需要拖拽操作就可以将各种类型的报表组合成固定看板，并以分享链接的方式做看板分发，支持将看板挂在不同的系统。报表需支持自定义深度的数据钻取，挖掘更深层次的数据（要求提供产品界面截图作为证明材料）</w:t>
      </w:r>
    </w:p>
    <w:bookmarkEnd w:id="5"/>
    <w:p w14:paraId="5D3DE4D8">
      <w:pPr>
        <w:pStyle w:val="2"/>
        <w:numPr>
          <w:ilvl w:val="0"/>
          <w:numId w:val="0"/>
        </w:numPr>
        <w:spacing w:before="156" w:beforeLines="50" w:after="156" w:afterLines="50"/>
        <w:ind w:left="425" w:hanging="425"/>
        <w:rPr>
          <w:rFonts w:ascii="宋体" w:hAnsi="宋体" w:eastAsia="宋体" w:cs="宋体"/>
          <w:sz w:val="32"/>
          <w:szCs w:val="32"/>
          <w:highlight w:val="none"/>
        </w:rPr>
      </w:pPr>
      <w:bookmarkStart w:id="11" w:name="_Toc1543626196"/>
      <w:r>
        <w:rPr>
          <w:rFonts w:hint="eastAsia" w:ascii="宋体" w:hAnsi="宋体" w:eastAsia="宋体" w:cs="宋体"/>
          <w:sz w:val="32"/>
          <w:szCs w:val="32"/>
          <w:highlight w:val="none"/>
        </w:rPr>
        <w:t>六、系统功能需求</w:t>
      </w:r>
      <w:bookmarkEnd w:id="1"/>
      <w:bookmarkEnd w:id="11"/>
    </w:p>
    <w:p w14:paraId="56332B3B">
      <w:pPr>
        <w:pStyle w:val="3"/>
        <w:numPr>
          <w:ilvl w:val="1"/>
          <w:numId w:val="0"/>
        </w:numPr>
        <w:rPr>
          <w:rFonts w:ascii="宋体" w:hAnsi="宋体" w:eastAsia="宋体" w:cs="宋体"/>
          <w:highlight w:val="none"/>
        </w:rPr>
      </w:pPr>
      <w:r>
        <w:rPr>
          <w:rFonts w:hint="eastAsia" w:ascii="宋体" w:hAnsi="宋体" w:eastAsia="宋体" w:cs="宋体"/>
          <w:sz w:val="28"/>
          <w:szCs w:val="28"/>
          <w:highlight w:val="none"/>
        </w:rPr>
        <w:t>6.1</w:t>
      </w:r>
      <w:r>
        <w:rPr>
          <w:rFonts w:hint="eastAsia" w:ascii="宋体" w:hAnsi="宋体" w:eastAsia="宋体" w:cs="宋体"/>
          <w:sz w:val="28"/>
          <w:szCs w:val="24"/>
          <w:highlight w:val="none"/>
        </w:rPr>
        <w:t>事中控费管理</w:t>
      </w:r>
    </w:p>
    <w:p w14:paraId="7EC05A13">
      <w:pPr>
        <w:pStyle w:val="4"/>
        <w:numPr>
          <w:ilvl w:val="2"/>
          <w:numId w:val="0"/>
        </w:numPr>
        <w:rPr>
          <w:rFonts w:ascii="宋体" w:hAnsi="宋体" w:eastAsia="宋体" w:cs="宋体"/>
          <w:highlight w:val="none"/>
        </w:rPr>
      </w:pPr>
      <w:bookmarkStart w:id="12" w:name="_Toc1163269579"/>
      <w:r>
        <w:rPr>
          <w:rFonts w:hint="eastAsia" w:ascii="宋体" w:hAnsi="宋体" w:eastAsia="宋体" w:cs="宋体"/>
          <w:szCs w:val="32"/>
          <w:highlight w:val="none"/>
        </w:rPr>
        <w:t>6.1.1</w:t>
      </w:r>
      <w:r>
        <w:rPr>
          <w:rFonts w:hint="eastAsia" w:ascii="宋体" w:hAnsi="宋体" w:eastAsia="宋体" w:cs="宋体"/>
          <w:highlight w:val="none"/>
        </w:rPr>
        <w:t>智能提醒（D</w:t>
      </w:r>
      <w:r>
        <w:rPr>
          <w:rFonts w:ascii="宋体" w:hAnsi="宋体" w:eastAsia="宋体" w:cs="宋体"/>
          <w:highlight w:val="none"/>
        </w:rPr>
        <w:t>IP</w:t>
      </w:r>
      <w:r>
        <w:rPr>
          <w:rFonts w:hint="eastAsia" w:ascii="宋体" w:hAnsi="宋体" w:eastAsia="宋体" w:cs="宋体"/>
          <w:highlight w:val="none"/>
        </w:rPr>
        <w:t>助手）</w:t>
      </w:r>
    </w:p>
    <w:p w14:paraId="1C6D9C4B">
      <w:pPr>
        <w:pStyle w:val="13"/>
        <w:ind w:left="920" w:hanging="440" w:firstLineChars="0"/>
        <w:rPr>
          <w:rFonts w:ascii="宋体" w:hAnsi="宋体" w:cs="宋体"/>
          <w:b/>
          <w:bCs/>
          <w:highlight w:val="none"/>
        </w:rPr>
      </w:pPr>
      <w:r>
        <w:rPr>
          <w:rFonts w:ascii="宋体" w:hAnsi="宋体" w:cs="宋体"/>
          <w:b/>
          <w:bCs/>
          <w:highlight w:val="none"/>
        </w:rPr>
        <w:t>1.</w:t>
      </w:r>
      <w:r>
        <w:rPr>
          <w:rFonts w:hint="eastAsia" w:ascii="宋体" w:hAnsi="宋体" w:cs="宋体"/>
          <w:b/>
          <w:bCs/>
          <w:highlight w:val="none"/>
        </w:rPr>
        <w:t>实时入组服务</w:t>
      </w:r>
    </w:p>
    <w:p w14:paraId="55A651BB">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需提供事中服务，要求：</w:t>
      </w:r>
    </w:p>
    <w:p w14:paraId="6A2B28EC">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病例入组判定：系统应能够根据已配置的本地分组规则，对病例进行自动判定入组。根据病例的疾病诊断、手术操作、患者基本信息等，自动判断病例符合的病种，从而确定相应的费用计算和超支结余预估。</w:t>
      </w:r>
    </w:p>
    <w:p w14:paraId="36EC7E5F">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分值计算：根据本地分值计算规则，结合病例费用情况，系统能够自动计算病例的分值。</w:t>
      </w:r>
    </w:p>
    <w:p w14:paraId="7417469A">
      <w:pPr>
        <w:widowControl w:val="0"/>
        <w:spacing w:after="0"/>
        <w:ind w:left="845" w:hanging="425"/>
        <w:jc w:val="both"/>
        <w:rPr>
          <w:rFonts w:ascii="宋体" w:hAnsi="宋体" w:eastAsia="宋体" w:cs="宋体"/>
          <w:sz w:val="24"/>
          <w:szCs w:val="24"/>
          <w:highlight w:val="none"/>
          <w:lang w:eastAsia="zh-CN"/>
        </w:rPr>
      </w:pPr>
      <w:bookmarkStart w:id="13" w:name="_Hlk173520635"/>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预估超支结余计算：系统应能够根据费用计算结果，自动进行预估超支结余结算功能。系统可以比对病例的费用计算结果与可用预算、医保病种结算标准等信息，预估出病例的超支或结余情况</w:t>
      </w:r>
      <w:bookmarkEnd w:id="13"/>
      <w:r>
        <w:rPr>
          <w:rFonts w:hint="eastAsia" w:ascii="宋体" w:hAnsi="宋体" w:eastAsia="宋体" w:cs="宋体"/>
          <w:sz w:val="24"/>
          <w:szCs w:val="24"/>
          <w:highlight w:val="none"/>
          <w:lang w:eastAsia="zh-CN"/>
        </w:rPr>
        <w:t>。</w:t>
      </w:r>
    </w:p>
    <w:p w14:paraId="7B42D9BE">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费用结构计算：系统应基于病例的分组结果和医疗费用标准，自动进行费用计算。根据已定义的本地费用标准，系统可以结合分组结果，计算出病例应享受的各项医疗费用，包括治疗、手术、药品、检查等费用的合计（要求提供产品界面截图作为证明材料）。</w:t>
      </w:r>
    </w:p>
    <w:p w14:paraId="1F1FF025">
      <w:pPr>
        <w:pStyle w:val="13"/>
        <w:ind w:left="920" w:hanging="440" w:firstLineChars="0"/>
        <w:rPr>
          <w:rFonts w:ascii="宋体" w:hAnsi="宋体" w:cs="宋体"/>
          <w:b/>
          <w:bCs/>
          <w:highlight w:val="none"/>
        </w:rPr>
      </w:pPr>
      <w:r>
        <w:rPr>
          <w:rFonts w:ascii="宋体" w:hAnsi="宋体" w:cs="宋体"/>
          <w:b/>
          <w:bCs/>
          <w:highlight w:val="none"/>
        </w:rPr>
        <w:t>2.</w:t>
      </w:r>
      <w:r>
        <w:rPr>
          <w:rFonts w:hint="eastAsia" w:ascii="宋体" w:hAnsi="宋体" w:cs="宋体"/>
          <w:b/>
          <w:bCs/>
          <w:highlight w:val="none"/>
        </w:rPr>
        <w:t>事中病种查询与试算（嵌入医生工作站)</w:t>
      </w:r>
    </w:p>
    <w:p w14:paraId="5BFA2BC2">
      <w:pPr>
        <w:spacing w:after="120"/>
        <w:ind w:firstLine="440"/>
        <w:rPr>
          <w:rFonts w:ascii="宋体" w:hAnsi="宋体" w:eastAsia="宋体" w:cs="宋体"/>
          <w:sz w:val="24"/>
          <w:szCs w:val="24"/>
          <w:highlight w:val="none"/>
          <w:lang w:eastAsia="zh-Hans"/>
        </w:rPr>
      </w:pPr>
      <w:r>
        <w:rPr>
          <w:rFonts w:hint="eastAsia" w:ascii="宋体" w:hAnsi="宋体" w:eastAsia="宋体" w:cs="宋体"/>
          <w:sz w:val="24"/>
          <w:szCs w:val="24"/>
          <w:highlight w:val="none"/>
          <w:lang w:eastAsia="zh-CN"/>
        </w:rPr>
        <w:t>需支持事中病种查询与试算，要求：</w:t>
      </w:r>
    </w:p>
    <w:p w14:paraId="1CD8EC91">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1)</w:t>
      </w:r>
      <w:r>
        <w:rPr>
          <w:rFonts w:hint="eastAsia" w:ascii="宋体" w:hAnsi="宋体" w:eastAsia="宋体" w:cs="宋体"/>
          <w:sz w:val="24"/>
          <w:szCs w:val="24"/>
          <w:highlight w:val="none"/>
          <w:lang w:eastAsia="zh-Hans"/>
        </w:rPr>
        <w:t>病种查询：系统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一个在医生工作站嵌入的病种查询功能，允许医生或医务人员快速查询特定病种的相关分组参考和分值。工作人员可以通过输入病种名称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代码或疾病诊断和手术操作关键词，进行快速搜索，以获取该病种的相关信息。</w:t>
      </w:r>
    </w:p>
    <w:p w14:paraId="6E3B2539">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分组参考和超支结余情况：根据试算的结果，系统应能够向工作人员展示参考的分组情况和超支结余情况。系统会根据病例的诊断和费用试算结果，判断该病例应属于哪个病种分组，并展示相应的分值和分组参考。同时，系统还会比较试算的费用与可用预算或医保余额，预估出超支或结余的情况</w:t>
      </w:r>
      <w:r>
        <w:rPr>
          <w:rFonts w:hint="eastAsia" w:ascii="宋体" w:hAnsi="宋体" w:eastAsia="宋体" w:cs="宋体"/>
          <w:sz w:val="24"/>
          <w:szCs w:val="24"/>
          <w:highlight w:val="none"/>
          <w:lang w:eastAsia="zh-CN"/>
        </w:rPr>
        <w:t>（要求提供产品界面截图作为证明材料）</w:t>
      </w:r>
      <w:r>
        <w:rPr>
          <w:rFonts w:hint="eastAsia" w:ascii="宋体" w:hAnsi="宋体" w:eastAsia="宋体" w:cs="宋体"/>
          <w:sz w:val="24"/>
          <w:szCs w:val="24"/>
          <w:highlight w:val="none"/>
          <w:lang w:eastAsia="zh-Hans"/>
        </w:rPr>
        <w:t>。</w:t>
      </w:r>
    </w:p>
    <w:p w14:paraId="44725033">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3)</w:t>
      </w:r>
      <w:r>
        <w:rPr>
          <w:rFonts w:hint="eastAsia" w:ascii="宋体" w:hAnsi="宋体" w:eastAsia="宋体" w:cs="宋体"/>
          <w:sz w:val="24"/>
          <w:szCs w:val="24"/>
          <w:highlight w:val="none"/>
          <w:lang w:eastAsia="zh-Hans"/>
        </w:rPr>
        <w:t>诊断手术试算：系统应允许医生或医务人员对特定病例进行诊断和手术试算。工作人员可以输入病例的诊断和手术，系统根据已配置的病种分组规则和分值费用计算标准，进行相应的试算操作。系统会计算该病例病种试算的分值，并根据相关的费用标准，计算出预估的超支结余费用。</w:t>
      </w:r>
    </w:p>
    <w:p w14:paraId="303BBE3D">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4)</w:t>
      </w:r>
      <w:r>
        <w:rPr>
          <w:rFonts w:hint="eastAsia" w:ascii="宋体" w:hAnsi="宋体" w:eastAsia="宋体" w:cs="宋体"/>
          <w:sz w:val="24"/>
          <w:szCs w:val="24"/>
          <w:highlight w:val="none"/>
          <w:lang w:eastAsia="zh-Hans"/>
        </w:rPr>
        <w:t>总费用试算：系统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一个总费用试算功能，允许医生或医务人员根据已有的病例信息，进行总费用的试算。工作人员可以输入病例的预估总费用费用，系统根据已定义的病种分值费用计算标准，计算出该病例预估的超支结余费用。</w:t>
      </w:r>
    </w:p>
    <w:p w14:paraId="66A83CEE">
      <w:pPr>
        <w:pStyle w:val="13"/>
        <w:ind w:left="920" w:hanging="440" w:firstLineChars="0"/>
        <w:rPr>
          <w:rFonts w:ascii="宋体" w:hAnsi="宋体" w:cs="宋体"/>
          <w:b/>
          <w:bCs/>
          <w:highlight w:val="none"/>
        </w:rPr>
      </w:pPr>
      <w:r>
        <w:rPr>
          <w:rFonts w:ascii="宋体" w:hAnsi="宋体" w:cs="宋体"/>
          <w:b/>
          <w:bCs/>
          <w:highlight w:val="none"/>
        </w:rPr>
        <w:t>3.</w:t>
      </w:r>
      <w:r>
        <w:rPr>
          <w:rFonts w:hint="eastAsia" w:ascii="宋体" w:hAnsi="宋体" w:cs="宋体"/>
          <w:b/>
          <w:bCs/>
          <w:highlight w:val="none"/>
        </w:rPr>
        <w:t>病种查询与试算（支持嵌入病案管理工作站）</w:t>
      </w:r>
    </w:p>
    <w:p w14:paraId="223D557A">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1)</w:t>
      </w:r>
      <w:r>
        <w:rPr>
          <w:rFonts w:hint="eastAsia" w:ascii="宋体" w:hAnsi="宋体" w:eastAsia="宋体" w:cs="宋体"/>
          <w:sz w:val="24"/>
          <w:szCs w:val="24"/>
          <w:highlight w:val="none"/>
          <w:lang w:eastAsia="zh-Hans"/>
        </w:rPr>
        <w:t>病种查询：系统提供一个在病案管理工作站嵌入的病种查询功能，允许病案编码人员快速查询特定病种的相关分组参考和分值。工作人员可以通过输入病种名称、代码或疾病诊断和手术操作关键词，进行快速搜索，以获取该病种的相关信息。</w:t>
      </w:r>
    </w:p>
    <w:p w14:paraId="7D99A38E">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2)</w:t>
      </w:r>
      <w:r>
        <w:rPr>
          <w:rFonts w:hint="eastAsia" w:ascii="宋体" w:hAnsi="宋体" w:eastAsia="宋体" w:cs="宋体"/>
          <w:sz w:val="24"/>
          <w:szCs w:val="24"/>
          <w:highlight w:val="none"/>
          <w:lang w:eastAsia="zh-Hans"/>
        </w:rPr>
        <w:t>分组参考和超支结余情况：根据试算的结果，系统应能够向工作人员展示参考的分组情况和超支结余情况。系统会根据病例的诊断和费用试算结果，判断该病例应属于哪个病种分组，并展示相应的分值和分组参考。同时，系统还会比较试算的费用与可用预算或医保余额，预估出超支或结余的情况。</w:t>
      </w:r>
    </w:p>
    <w:p w14:paraId="17BAD885">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3)</w:t>
      </w:r>
      <w:r>
        <w:rPr>
          <w:rFonts w:hint="eastAsia" w:ascii="宋体" w:hAnsi="宋体" w:eastAsia="宋体" w:cs="宋体"/>
          <w:sz w:val="24"/>
          <w:szCs w:val="24"/>
          <w:highlight w:val="none"/>
          <w:lang w:eastAsia="zh-Hans"/>
        </w:rPr>
        <w:t>诊断手术试算：系统应允许病案编码人员对特定病例进行诊断和手术试算。工作人员可以输入病例的诊断和手术，系统根据已配置的病种分组规则和分值费用计算标准，进行相应的试算操作。系统会计算该病例病种试算的分值，并根据相关的费用标准，计算出预估的超支结余费用。</w:t>
      </w:r>
    </w:p>
    <w:p w14:paraId="5B801579">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4)</w:t>
      </w:r>
      <w:r>
        <w:rPr>
          <w:rFonts w:hint="eastAsia" w:ascii="宋体" w:hAnsi="宋体" w:eastAsia="宋体" w:cs="宋体"/>
          <w:sz w:val="24"/>
          <w:szCs w:val="24"/>
          <w:highlight w:val="none"/>
          <w:lang w:eastAsia="zh-Hans"/>
        </w:rPr>
        <w:t>总费用试算：系统应提供一个总费用试算功能，允许病案编码人员根据已有的病例信息，进行总费用的试算。工作人员可以输入病例的预估总费用费用，系统根据已定义的病种分值费用计算标准，计算出该病例预估的超支结余费用。</w:t>
      </w:r>
    </w:p>
    <w:p w14:paraId="0783EA41">
      <w:pPr>
        <w:pStyle w:val="13"/>
        <w:ind w:left="920" w:hanging="440" w:firstLineChars="0"/>
        <w:rPr>
          <w:rFonts w:ascii="宋体" w:hAnsi="宋体" w:cs="宋体"/>
          <w:highlight w:val="none"/>
          <w:lang w:eastAsia="zh-Hans"/>
        </w:rPr>
      </w:pPr>
      <w:r>
        <w:rPr>
          <w:rFonts w:ascii="宋体" w:hAnsi="宋体" w:cs="宋体"/>
          <w:highlight w:val="none"/>
          <w:lang w:eastAsia="zh-Hans"/>
        </w:rPr>
        <w:t>4.</w:t>
      </w:r>
      <w:r>
        <w:rPr>
          <w:rFonts w:hint="eastAsia" w:ascii="宋体" w:hAnsi="宋体" w:cs="宋体"/>
          <w:b/>
          <w:bCs/>
          <w:highlight w:val="none"/>
        </w:rPr>
        <w:t>事中提醒页面配置</w:t>
      </w:r>
    </w:p>
    <w:p w14:paraId="5B4E634E">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需支持对事中提醒页面进行自定义配置，要求：</w:t>
      </w:r>
    </w:p>
    <w:p w14:paraId="6ECF3C92">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1)</w:t>
      </w:r>
      <w:r>
        <w:rPr>
          <w:rFonts w:hint="eastAsia" w:ascii="宋体" w:hAnsi="宋体" w:eastAsia="宋体" w:cs="宋体"/>
          <w:sz w:val="24"/>
          <w:szCs w:val="24"/>
          <w:highlight w:val="none"/>
          <w:lang w:eastAsia="zh-Hans"/>
        </w:rPr>
        <w:t>展示字段及其名称配置：系统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一个界面，允许管理员配置事中提醒页面展示的字段和对应的名称。</w:t>
      </w:r>
      <w:r>
        <w:rPr>
          <w:rFonts w:hint="eastAsia" w:ascii="宋体" w:hAnsi="宋体" w:eastAsia="宋体" w:cs="宋体"/>
          <w:sz w:val="24"/>
          <w:szCs w:val="24"/>
          <w:highlight w:val="none"/>
          <w:lang w:eastAsia="zh-CN"/>
        </w:rPr>
        <w:t>需支持管理员</w:t>
      </w:r>
      <w:r>
        <w:rPr>
          <w:rFonts w:hint="eastAsia" w:ascii="宋体" w:hAnsi="宋体" w:eastAsia="宋体" w:cs="宋体"/>
          <w:sz w:val="24"/>
          <w:szCs w:val="24"/>
          <w:highlight w:val="none"/>
          <w:lang w:eastAsia="zh-Hans"/>
        </w:rPr>
        <w:t>根据具体需求，选择在事中提醒页面显示哪些字段，以及为这些字段指定合适的名称。这些字段可以包括病种名称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超支结余等。</w:t>
      </w:r>
    </w:p>
    <w:p w14:paraId="660BC574">
      <w:pPr>
        <w:widowControl w:val="0"/>
        <w:spacing w:after="0"/>
        <w:ind w:left="845" w:hanging="425"/>
        <w:jc w:val="both"/>
        <w:rPr>
          <w:rFonts w:ascii="宋体" w:hAnsi="宋体" w:eastAsia="宋体" w:cs="宋体"/>
          <w:sz w:val="24"/>
          <w:szCs w:val="24"/>
          <w:highlight w:val="none"/>
          <w:lang w:eastAsia="zh-Hans"/>
        </w:rPr>
      </w:pPr>
      <w:bookmarkStart w:id="14" w:name="_Hlk173520315"/>
      <w:r>
        <w:rPr>
          <w:rFonts w:ascii="宋体" w:hAnsi="宋体" w:eastAsia="宋体" w:cs="宋体"/>
          <w:sz w:val="24"/>
          <w:szCs w:val="24"/>
          <w:highlight w:val="none"/>
          <w:lang w:eastAsia="zh-Hans"/>
        </w:rPr>
        <w:t>2)</w:t>
      </w:r>
      <w:r>
        <w:rPr>
          <w:rFonts w:hint="eastAsia" w:ascii="宋体" w:hAnsi="宋体" w:eastAsia="宋体" w:cs="宋体"/>
          <w:sz w:val="24"/>
          <w:szCs w:val="24"/>
          <w:highlight w:val="none"/>
          <w:lang w:eastAsia="zh-Hans"/>
        </w:rPr>
        <w:t>▲颜色配置：系统应允许管理员根据不同的分组结果，配置事中提醒页面中每个结果的展示颜色。</w:t>
      </w:r>
      <w:r>
        <w:rPr>
          <w:rFonts w:hint="eastAsia" w:ascii="宋体" w:hAnsi="宋体" w:eastAsia="宋体" w:cs="宋体"/>
          <w:sz w:val="24"/>
          <w:szCs w:val="24"/>
          <w:highlight w:val="none"/>
          <w:lang w:eastAsia="zh-CN"/>
        </w:rPr>
        <w:t>需支持管理员</w:t>
      </w:r>
      <w:r>
        <w:rPr>
          <w:rFonts w:hint="eastAsia" w:ascii="宋体" w:hAnsi="宋体" w:eastAsia="宋体" w:cs="宋体"/>
          <w:sz w:val="24"/>
          <w:szCs w:val="24"/>
          <w:highlight w:val="none"/>
          <w:lang w:eastAsia="zh-Hans"/>
        </w:rPr>
        <w:t>为每个分组结果定义一种或多种颜色，用于标识病例的不同的入组关注度。这样可以使得事中提醒页面更加直观和易于辨识</w:t>
      </w:r>
      <w:bookmarkStart w:id="15" w:name="OLE_LINK1"/>
      <w:r>
        <w:rPr>
          <w:rFonts w:hint="eastAsia" w:ascii="宋体" w:hAnsi="宋体" w:eastAsia="宋体" w:cs="宋体"/>
          <w:sz w:val="24"/>
          <w:szCs w:val="24"/>
          <w:highlight w:val="none"/>
          <w:lang w:eastAsia="zh-CN"/>
        </w:rPr>
        <w:t>（要求提供产品界面截图作为证明材料）</w:t>
      </w:r>
      <w:bookmarkEnd w:id="15"/>
      <w:r>
        <w:rPr>
          <w:rFonts w:hint="eastAsia" w:ascii="宋体" w:hAnsi="宋体" w:eastAsia="宋体" w:cs="宋体"/>
          <w:sz w:val="24"/>
          <w:szCs w:val="24"/>
          <w:highlight w:val="none"/>
          <w:lang w:eastAsia="zh-Hans"/>
        </w:rPr>
        <w:t>。</w:t>
      </w:r>
    </w:p>
    <w:p w14:paraId="699AF7B6">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3)</w:t>
      </w:r>
      <w:r>
        <w:rPr>
          <w:rFonts w:hint="eastAsia" w:ascii="宋体" w:hAnsi="宋体" w:eastAsia="宋体" w:cs="宋体"/>
          <w:sz w:val="24"/>
          <w:szCs w:val="24"/>
          <w:highlight w:val="none"/>
          <w:lang w:eastAsia="zh-Hans"/>
        </w:rPr>
        <w:t>分值计算公式调整：系统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一个界面，允许管理员进行分值计算公式的调整。</w:t>
      </w:r>
      <w:r>
        <w:rPr>
          <w:rFonts w:hint="eastAsia" w:ascii="宋体" w:hAnsi="宋体" w:eastAsia="宋体" w:cs="宋体"/>
          <w:sz w:val="24"/>
          <w:szCs w:val="24"/>
          <w:highlight w:val="none"/>
          <w:lang w:eastAsia="zh-CN"/>
        </w:rPr>
        <w:t>需支持管理员</w:t>
      </w:r>
      <w:r>
        <w:rPr>
          <w:rFonts w:hint="eastAsia" w:ascii="宋体" w:hAnsi="宋体" w:eastAsia="宋体" w:cs="宋体"/>
          <w:sz w:val="24"/>
          <w:szCs w:val="24"/>
          <w:highlight w:val="none"/>
          <w:lang w:eastAsia="zh-Hans"/>
        </w:rPr>
        <w:t>根据实际需求，自定义分值计算公式，包括各项指标采用的算法等。根据本地不用的分值结算标准和政策，灵活地调整分值计算方法，确保分值的准确性和合理性</w:t>
      </w:r>
      <w:bookmarkEnd w:id="14"/>
      <w:r>
        <w:rPr>
          <w:rFonts w:hint="eastAsia" w:ascii="宋体" w:hAnsi="宋体" w:eastAsia="宋体" w:cs="宋体"/>
          <w:sz w:val="24"/>
          <w:szCs w:val="24"/>
          <w:highlight w:val="none"/>
          <w:lang w:eastAsia="zh-CN"/>
        </w:rPr>
        <w:t>（要求提供现场系统演示）</w:t>
      </w:r>
      <w:r>
        <w:rPr>
          <w:rFonts w:hint="eastAsia" w:ascii="宋体" w:hAnsi="宋体" w:eastAsia="宋体" w:cs="宋体"/>
          <w:sz w:val="24"/>
          <w:szCs w:val="24"/>
          <w:highlight w:val="none"/>
          <w:lang w:eastAsia="zh-Hans"/>
        </w:rPr>
        <w:t>。</w:t>
      </w:r>
    </w:p>
    <w:p w14:paraId="40E40FB8">
      <w:pPr>
        <w:pStyle w:val="6"/>
        <w:rPr>
          <w:rFonts w:ascii="宋体" w:hAnsi="宋体" w:cs="宋体"/>
          <w:highlight w:val="none"/>
          <w:lang w:eastAsia="zh-Hans"/>
        </w:rPr>
      </w:pPr>
    </w:p>
    <w:bookmarkEnd w:id="12"/>
    <w:p w14:paraId="63DBC5D6">
      <w:pPr>
        <w:pStyle w:val="4"/>
        <w:numPr>
          <w:ilvl w:val="2"/>
          <w:numId w:val="0"/>
        </w:numPr>
        <w:rPr>
          <w:rFonts w:ascii="宋体" w:hAnsi="宋体" w:eastAsia="宋体" w:cs="宋体"/>
          <w:highlight w:val="none"/>
        </w:rPr>
      </w:pPr>
      <w:r>
        <w:rPr>
          <w:rFonts w:hint="eastAsia" w:ascii="宋体" w:hAnsi="宋体" w:eastAsia="宋体" w:cs="宋体"/>
          <w:szCs w:val="32"/>
          <w:highlight w:val="none"/>
        </w:rPr>
        <w:t>6.1.2</w:t>
      </w:r>
      <w:r>
        <w:rPr>
          <w:rFonts w:hint="eastAsia" w:ascii="宋体" w:hAnsi="宋体" w:eastAsia="宋体" w:cs="宋体"/>
          <w:highlight w:val="none"/>
        </w:rPr>
        <w:t>D</w:t>
      </w:r>
      <w:r>
        <w:rPr>
          <w:rFonts w:ascii="宋体" w:hAnsi="宋体" w:eastAsia="宋体" w:cs="宋体"/>
          <w:highlight w:val="none"/>
        </w:rPr>
        <w:t>IP</w:t>
      </w:r>
      <w:r>
        <w:rPr>
          <w:rFonts w:hint="eastAsia" w:ascii="宋体" w:hAnsi="宋体" w:eastAsia="宋体" w:cs="宋体"/>
          <w:highlight w:val="none"/>
        </w:rPr>
        <w:t>配置管理</w:t>
      </w:r>
    </w:p>
    <w:p w14:paraId="2A619D2A">
      <w:pPr>
        <w:pStyle w:val="13"/>
        <w:ind w:left="920" w:hanging="440" w:firstLineChars="0"/>
        <w:rPr>
          <w:rFonts w:ascii="宋体" w:hAnsi="宋体" w:cs="宋体"/>
          <w:b/>
          <w:bCs/>
          <w:highlight w:val="none"/>
        </w:rPr>
      </w:pPr>
      <w:r>
        <w:rPr>
          <w:rFonts w:ascii="宋体" w:hAnsi="宋体" w:cs="宋体"/>
          <w:b/>
          <w:bCs/>
          <w:highlight w:val="none"/>
        </w:rPr>
        <w:t>1.</w:t>
      </w:r>
      <w:r>
        <w:rPr>
          <w:rFonts w:hint="eastAsia" w:ascii="宋体" w:hAnsi="宋体" w:cs="宋体"/>
          <w:b/>
          <w:bCs/>
          <w:highlight w:val="none"/>
        </w:rPr>
        <w:t>病种分值库维护与管理</w:t>
      </w:r>
    </w:p>
    <w:p w14:paraId="084F3B74">
      <w:pPr>
        <w:spacing w:after="120"/>
        <w:rPr>
          <w:rFonts w:ascii="宋体" w:hAnsi="宋体" w:eastAsia="宋体" w:cs="宋体"/>
          <w:sz w:val="24"/>
          <w:szCs w:val="28"/>
          <w:highlight w:val="none"/>
          <w:lang w:eastAsia="zh-CN"/>
        </w:rPr>
      </w:pPr>
      <w:r>
        <w:rPr>
          <w:rFonts w:hint="eastAsia" w:ascii="宋体" w:hAnsi="宋体" w:eastAsia="宋体" w:cs="宋体"/>
          <w:highlight w:val="none"/>
          <w:lang w:eastAsia="zh-CN"/>
        </w:rPr>
        <w:t xml:space="preserve">   </w:t>
      </w:r>
      <w:r>
        <w:rPr>
          <w:rFonts w:hint="eastAsia" w:ascii="宋体" w:hAnsi="宋体" w:eastAsia="宋体" w:cs="宋体"/>
          <w:sz w:val="24"/>
          <w:szCs w:val="28"/>
          <w:highlight w:val="none"/>
          <w:lang w:eastAsia="zh-CN"/>
        </w:rPr>
        <w:t>根据医保相关政策，对医院所属地区的病种分值库信息进行统一管理，要求：</w:t>
      </w:r>
    </w:p>
    <w:p w14:paraId="3D67187F">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按年份、版本进行管理和维护：系统应该需支持按照不同的年份和版本对病种分值目录进行管理。需支持管理员创建、编辑和删除不同的版本，并根据需要进行切换，确保病种分值库的更新和历史版本的保存。（要求提供产品界面截图作为证明材料）</w:t>
      </w:r>
    </w:p>
    <w:p w14:paraId="6109DB61">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导入不同类型的病种目录：系统需支持导入西医、中医等不同类型的病种目录分值库。需支持管理员选择导入已有的目录文件，或者通过手动添加的方式创建新的目录条目。</w:t>
      </w:r>
    </w:p>
    <w:p w14:paraId="23A75A12">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导入手术操作字典：系统需支持导入与病种目录对应的手术操作字典。需支持管理员将手术操作字典文件导入系统，或者手动添加新的手术操作条目。系统应该能够将手术操作与对应的病种目录进行关联，以方便工作人员在管理和使用过程中的查询和操作。</w:t>
      </w:r>
    </w:p>
    <w:p w14:paraId="7C8A3FF9">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分值库的查询和浏览：系统需提供直观的界面，方便工作人员查询和浏览病种分值库。工作人员可以根据不同的年份)版本和病种类型进行筛选和搜索，以查看特定的病种目录和对应的分值信息。系统还可以需提供按照病种名称、分值等进行排序和分页显示的功能，方便工作人员进行数据分析和比较。</w:t>
      </w:r>
    </w:p>
    <w:p w14:paraId="22AC5413">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分值库的导出和共享：系统需支持将病种分值库导出为常见的文件格式，如Excel、CSV等，方便工作人员进行数据备份和共享。导出的文件应包含完整的病种目录)分值和手术操作字典信息。</w:t>
      </w:r>
    </w:p>
    <w:p w14:paraId="51567979">
      <w:pPr>
        <w:pStyle w:val="7"/>
        <w:rPr>
          <w:highlight w:val="none"/>
        </w:rPr>
      </w:pPr>
    </w:p>
    <w:p w14:paraId="5B260E4B">
      <w:pPr>
        <w:pStyle w:val="13"/>
        <w:ind w:left="920" w:hanging="440" w:firstLineChars="0"/>
        <w:rPr>
          <w:rFonts w:ascii="宋体" w:hAnsi="宋体" w:cs="宋体"/>
          <w:b/>
          <w:bCs/>
          <w:highlight w:val="none"/>
        </w:rPr>
      </w:pPr>
      <w:r>
        <w:rPr>
          <w:rFonts w:ascii="宋体" w:hAnsi="宋体" w:cs="宋体"/>
          <w:b/>
          <w:bCs/>
          <w:highlight w:val="none"/>
        </w:rPr>
        <w:t>2.</w:t>
      </w:r>
      <w:r>
        <w:rPr>
          <w:rFonts w:hint="eastAsia" w:ascii="宋体" w:hAnsi="宋体" w:cs="宋体"/>
          <w:b/>
          <w:bCs/>
          <w:highlight w:val="none"/>
        </w:rPr>
        <w:t>病种分组器维护与管理</w:t>
      </w:r>
    </w:p>
    <w:p w14:paraId="09949930">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需支持工作人员对病种分组器的参数进行配置，要求：</w:t>
      </w:r>
    </w:p>
    <w:p w14:paraId="7E46694D">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需支持不同阶段选择不同的分组器和分值库：系统应该允许工作人员在事前、事中和事后阶段分别选择不同的分组器和病种目录分值库。需支持管理员在系统中配置多个分组器和分值库，在具体操作时根据需要进行选择，以满足不同阶段对分组规则和分值计算的需求。</w:t>
      </w:r>
    </w:p>
    <w:p w14:paraId="1E991653">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需支持不同病种大类选择不同的分值库：系统应能够区分不同的病种大类，如西医、中医、床日等，并允许工作人员选择不同的病种目录分值库进行应用。根据不同的病种大类的特点和需求，采用不同的分组器和分值计算规则，从而实现更精确的病种分组和费用控制。</w:t>
      </w:r>
    </w:p>
    <w:p w14:paraId="315D7DAE">
      <w:pPr>
        <w:widowControl w:val="0"/>
        <w:spacing w:after="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病种维护与管理：系统需支持管理员对病种分组器进行维护和管理，需支持管理员添加、编辑、删除病种分组器。</w:t>
      </w:r>
    </w:p>
    <w:p w14:paraId="745D30A5">
      <w:pPr>
        <w:pStyle w:val="4"/>
        <w:numPr>
          <w:ilvl w:val="2"/>
          <w:numId w:val="0"/>
        </w:numPr>
        <w:rPr>
          <w:rFonts w:ascii="宋体" w:hAnsi="宋体" w:eastAsia="宋体" w:cs="宋体"/>
          <w:highlight w:val="none"/>
        </w:rPr>
      </w:pPr>
      <w:r>
        <w:rPr>
          <w:rFonts w:hint="eastAsia" w:ascii="宋体" w:hAnsi="宋体" w:eastAsia="宋体" w:cs="宋体"/>
          <w:szCs w:val="32"/>
          <w:highlight w:val="none"/>
        </w:rPr>
        <w:t>6.1.3</w:t>
      </w:r>
      <w:r>
        <w:rPr>
          <w:rFonts w:hint="eastAsia" w:ascii="宋体" w:hAnsi="宋体" w:eastAsia="宋体" w:cs="宋体"/>
          <w:highlight w:val="none"/>
        </w:rPr>
        <w:t>在院患者监控首页</w:t>
      </w:r>
    </w:p>
    <w:p w14:paraId="7D9D9F7F">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需提供科室在院患者费用监测，要求：</w:t>
      </w:r>
    </w:p>
    <w:p w14:paraId="381DAF34">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1)</w:t>
      </w:r>
      <w:r>
        <w:rPr>
          <w:rFonts w:hint="eastAsia" w:ascii="宋体" w:hAnsi="宋体" w:eastAsia="宋体" w:cs="宋体"/>
          <w:sz w:val="24"/>
          <w:szCs w:val="24"/>
          <w:highlight w:val="none"/>
          <w:lang w:eastAsia="zh-Hans"/>
        </w:rPr>
        <w:t>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科室和医保类型的筛选条件，允许工作人员选择具体的科室和医保类型，对特定科室和医保类型的在院患者进行监测和统计。</w:t>
      </w:r>
    </w:p>
    <w:p w14:paraId="0F362E1A">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2)</w:t>
      </w:r>
      <w:r>
        <w:rPr>
          <w:rFonts w:hint="eastAsia" w:ascii="宋体" w:hAnsi="宋体" w:eastAsia="宋体" w:cs="宋体"/>
          <w:sz w:val="24"/>
          <w:szCs w:val="24"/>
          <w:highlight w:val="none"/>
          <w:lang w:eastAsia="zh-Hans"/>
        </w:rPr>
        <w:t>系统根据科室医生的权限设置，只允许有权限的医生查看和编辑所属科室的费用监测数据。</w:t>
      </w:r>
    </w:p>
    <w:p w14:paraId="5CC00259">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3)</w:t>
      </w:r>
      <w:r>
        <w:rPr>
          <w:rFonts w:hint="eastAsia" w:ascii="宋体" w:hAnsi="宋体" w:eastAsia="宋体" w:cs="宋体"/>
          <w:sz w:val="24"/>
          <w:szCs w:val="24"/>
          <w:highlight w:val="none"/>
          <w:lang w:eastAsia="zh-Hans"/>
        </w:rPr>
        <w:t>在院人数和病例数指标：系统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科室的在院人数和符合中医优势病种的病例数等指标的监测。这些指标可以根据实际需求进行配置，并展示科室的患者情况。</w:t>
      </w:r>
    </w:p>
    <w:p w14:paraId="3428897E">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4)</w:t>
      </w:r>
      <w:r>
        <w:rPr>
          <w:rFonts w:hint="eastAsia" w:ascii="宋体" w:hAnsi="宋体" w:eastAsia="宋体" w:cs="宋体"/>
          <w:sz w:val="24"/>
          <w:szCs w:val="24"/>
          <w:highlight w:val="none"/>
          <w:lang w:eastAsia="zh-Hans"/>
        </w:rPr>
        <w:t>病例分布指标：系统</w:t>
      </w:r>
      <w:r>
        <w:rPr>
          <w:rFonts w:hint="eastAsia" w:ascii="宋体" w:hAnsi="宋体" w:eastAsia="宋体" w:cs="宋体"/>
          <w:sz w:val="24"/>
          <w:szCs w:val="24"/>
          <w:highlight w:val="none"/>
          <w:lang w:eastAsia="zh-CN"/>
        </w:rPr>
        <w:t>需提供</w:t>
      </w:r>
      <w:r>
        <w:rPr>
          <w:rFonts w:hint="eastAsia" w:ascii="宋体" w:hAnsi="宋体" w:eastAsia="宋体" w:cs="宋体"/>
          <w:sz w:val="24"/>
          <w:szCs w:val="24"/>
          <w:highlight w:val="none"/>
          <w:lang w:eastAsia="zh-Hans"/>
        </w:rPr>
        <w:t>超低倍率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低倍率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正常倍率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高倍率</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eastAsia="zh-Hans"/>
        </w:rPr>
        <w:t>超高倍率人数等病例分布指标的监测。</w:t>
      </w:r>
      <w:r>
        <w:rPr>
          <w:rFonts w:hint="eastAsia" w:ascii="宋体" w:hAnsi="宋体" w:eastAsia="宋体" w:cs="宋体"/>
          <w:sz w:val="24"/>
          <w:szCs w:val="24"/>
          <w:highlight w:val="none"/>
          <w:lang w:eastAsia="zh-CN"/>
        </w:rPr>
        <w:t>需支持管理员</w:t>
      </w:r>
      <w:r>
        <w:rPr>
          <w:rFonts w:hint="eastAsia" w:ascii="宋体" w:hAnsi="宋体" w:eastAsia="宋体" w:cs="宋体"/>
          <w:sz w:val="24"/>
          <w:szCs w:val="24"/>
          <w:highlight w:val="none"/>
          <w:lang w:eastAsia="zh-Hans"/>
        </w:rPr>
        <w:t>配置不同倍率的阈值，并根据病例分值划分病例的分布。</w:t>
      </w:r>
    </w:p>
    <w:p w14:paraId="3AC148B7">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5)</w:t>
      </w:r>
      <w:r>
        <w:rPr>
          <w:rFonts w:hint="eastAsia" w:ascii="宋体" w:hAnsi="宋体" w:eastAsia="宋体" w:cs="宋体"/>
          <w:sz w:val="24"/>
          <w:szCs w:val="24"/>
          <w:highlight w:val="none"/>
          <w:lang w:eastAsia="zh-Hans"/>
        </w:rPr>
        <w:t>医生医疗组统计：系统</w:t>
      </w:r>
      <w:r>
        <w:rPr>
          <w:rFonts w:hint="eastAsia" w:ascii="宋体" w:hAnsi="宋体" w:eastAsia="宋体" w:cs="宋体"/>
          <w:sz w:val="24"/>
          <w:szCs w:val="24"/>
          <w:highlight w:val="none"/>
          <w:lang w:eastAsia="zh-CN"/>
        </w:rPr>
        <w:t>需支持</w:t>
      </w:r>
      <w:r>
        <w:rPr>
          <w:rFonts w:hint="eastAsia" w:ascii="宋体" w:hAnsi="宋体" w:eastAsia="宋体" w:cs="宋体"/>
          <w:sz w:val="24"/>
          <w:szCs w:val="24"/>
          <w:highlight w:val="none"/>
          <w:lang w:eastAsia="zh-Hans"/>
        </w:rPr>
        <w:t>按医生和医疗组的维度统计在院患者的费用情况。科主任和医保管理部门可以查看每个医生和医疗组的费用情况，包括超支结余情况和费用结构等。</w:t>
      </w:r>
    </w:p>
    <w:p w14:paraId="5E251586">
      <w:pPr>
        <w:widowControl w:val="0"/>
        <w:spacing w:after="0"/>
        <w:ind w:left="845" w:hanging="425"/>
        <w:jc w:val="both"/>
        <w:rPr>
          <w:rFonts w:ascii="宋体" w:hAnsi="宋体" w:eastAsia="宋体" w:cs="宋体"/>
          <w:sz w:val="24"/>
          <w:szCs w:val="24"/>
          <w:highlight w:val="none"/>
          <w:lang w:eastAsia="zh-Hans"/>
        </w:rPr>
      </w:pPr>
      <w:r>
        <w:rPr>
          <w:rFonts w:ascii="宋体" w:hAnsi="宋体" w:eastAsia="宋体" w:cs="宋体"/>
          <w:sz w:val="24"/>
          <w:szCs w:val="24"/>
          <w:highlight w:val="none"/>
          <w:lang w:eastAsia="zh-Hans"/>
        </w:rPr>
        <w:t>6)</w:t>
      </w:r>
      <w:r>
        <w:rPr>
          <w:rFonts w:hint="eastAsia" w:ascii="宋体" w:hAnsi="宋体" w:eastAsia="宋体" w:cs="宋体"/>
          <w:sz w:val="24"/>
          <w:szCs w:val="24"/>
          <w:highlight w:val="none"/>
          <w:lang w:eastAsia="zh-Hans"/>
        </w:rPr>
        <w:t>事中病例费用明细：系统</w:t>
      </w:r>
      <w:r>
        <w:rPr>
          <w:rFonts w:hint="eastAsia" w:ascii="宋体" w:hAnsi="宋体" w:eastAsia="宋体" w:cs="宋体"/>
          <w:sz w:val="24"/>
          <w:szCs w:val="24"/>
          <w:highlight w:val="none"/>
          <w:lang w:eastAsia="zh-CN"/>
        </w:rPr>
        <w:t>需支持</w:t>
      </w:r>
      <w:r>
        <w:rPr>
          <w:rFonts w:hint="eastAsia" w:ascii="宋体" w:hAnsi="宋体" w:eastAsia="宋体" w:cs="宋体"/>
          <w:sz w:val="24"/>
          <w:szCs w:val="24"/>
          <w:highlight w:val="none"/>
          <w:lang w:eastAsia="zh-Hans"/>
        </w:rPr>
        <w:t>查看每个在院患者的病种分组明细和超支结余等事中费用情况指标。科主任和医保管理部门可以通过系统查看每个患者的分组试算结果和费用信息，了解患者的具体情况。</w:t>
      </w:r>
    </w:p>
    <w:p w14:paraId="49E61047">
      <w:pPr>
        <w:pStyle w:val="6"/>
        <w:rPr>
          <w:rFonts w:ascii="宋体" w:hAnsi="宋体" w:cs="宋体"/>
          <w:highlight w:val="none"/>
          <w:lang w:eastAsia="zh-Hans"/>
        </w:rPr>
      </w:pPr>
    </w:p>
    <w:p w14:paraId="5EFC0DE1">
      <w:pPr>
        <w:pStyle w:val="3"/>
        <w:numPr>
          <w:ilvl w:val="1"/>
          <w:numId w:val="0"/>
        </w:numPr>
        <w:rPr>
          <w:rFonts w:ascii="宋体" w:hAnsi="宋体" w:eastAsia="宋体" w:cs="宋体"/>
          <w:sz w:val="28"/>
          <w:szCs w:val="24"/>
          <w:highlight w:val="none"/>
        </w:rPr>
      </w:pPr>
      <w:r>
        <w:rPr>
          <w:rFonts w:hint="eastAsia" w:ascii="宋体" w:hAnsi="宋体" w:eastAsia="宋体" w:cs="宋体"/>
          <w:sz w:val="28"/>
          <w:szCs w:val="28"/>
          <w:highlight w:val="none"/>
        </w:rPr>
        <w:t>6.2</w:t>
      </w:r>
      <w:r>
        <w:rPr>
          <w:rFonts w:hint="eastAsia" w:ascii="宋体" w:hAnsi="宋体" w:eastAsia="宋体" w:cs="宋体"/>
          <w:sz w:val="28"/>
          <w:szCs w:val="24"/>
          <w:highlight w:val="none"/>
        </w:rPr>
        <w:t>D</w:t>
      </w:r>
      <w:r>
        <w:rPr>
          <w:rFonts w:ascii="宋体" w:hAnsi="宋体" w:eastAsia="宋体" w:cs="宋体"/>
          <w:sz w:val="28"/>
          <w:szCs w:val="24"/>
          <w:highlight w:val="none"/>
        </w:rPr>
        <w:t>IP</w:t>
      </w:r>
      <w:r>
        <w:rPr>
          <w:rFonts w:hint="eastAsia" w:ascii="宋体" w:hAnsi="宋体" w:eastAsia="宋体" w:cs="宋体"/>
          <w:sz w:val="28"/>
          <w:szCs w:val="24"/>
          <w:highlight w:val="none"/>
        </w:rPr>
        <w:t>精细化分析</w:t>
      </w:r>
    </w:p>
    <w:p w14:paraId="0F9DDD31">
      <w:pPr>
        <w:snapToGrid w:val="0"/>
        <w:ind w:firstLine="442"/>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D</w:t>
      </w:r>
      <w:r>
        <w:rPr>
          <w:rFonts w:ascii="宋体" w:hAnsi="宋体" w:eastAsia="宋体" w:cs="宋体"/>
          <w:sz w:val="24"/>
          <w:szCs w:val="24"/>
          <w:highlight w:val="none"/>
          <w:lang w:eastAsia="zh-CN"/>
        </w:rPr>
        <w:t>IP</w:t>
      </w:r>
      <w:r>
        <w:rPr>
          <w:rFonts w:hint="eastAsia" w:ascii="宋体" w:hAnsi="宋体" w:eastAsia="宋体" w:cs="宋体"/>
          <w:sz w:val="24"/>
          <w:szCs w:val="24"/>
          <w:highlight w:val="none"/>
          <w:lang w:eastAsia="zh-CN"/>
        </w:rPr>
        <w:t>精细化分析通过从全院、科室、病种、时间等多个角度，针对全院病种分值付费情况，覆盖病种结构、CMI、诊疗费用、费用结构等各个方面，全面化、深度化展示医院控费效果。整个D</w:t>
      </w:r>
      <w:r>
        <w:rPr>
          <w:rFonts w:ascii="宋体" w:hAnsi="宋体" w:eastAsia="宋体" w:cs="宋体"/>
          <w:sz w:val="24"/>
          <w:szCs w:val="24"/>
          <w:highlight w:val="none"/>
          <w:lang w:eastAsia="zh-CN"/>
        </w:rPr>
        <w:t>IP</w:t>
      </w:r>
      <w:r>
        <w:rPr>
          <w:rFonts w:hint="eastAsia" w:ascii="宋体" w:hAnsi="宋体" w:eastAsia="宋体" w:cs="宋体"/>
          <w:sz w:val="24"/>
          <w:szCs w:val="24"/>
          <w:highlight w:val="none"/>
          <w:lang w:eastAsia="zh-CN"/>
        </w:rPr>
        <w:t>精细化分析的内容包括：</w:t>
      </w:r>
    </w:p>
    <w:p w14:paraId="591E0C56">
      <w:pPr>
        <w:pStyle w:val="4"/>
        <w:numPr>
          <w:ilvl w:val="2"/>
          <w:numId w:val="0"/>
        </w:numPr>
        <w:rPr>
          <w:rFonts w:ascii="宋体" w:hAnsi="宋体" w:eastAsia="宋体" w:cs="宋体"/>
          <w:highlight w:val="none"/>
        </w:rPr>
      </w:pPr>
      <w:r>
        <w:rPr>
          <w:rFonts w:hint="eastAsia" w:ascii="宋体" w:hAnsi="宋体" w:eastAsia="宋体" w:cs="宋体"/>
          <w:szCs w:val="32"/>
          <w:highlight w:val="none"/>
        </w:rPr>
        <w:t>6.2.1</w:t>
      </w:r>
      <w:r>
        <w:rPr>
          <w:rFonts w:ascii="宋体" w:hAnsi="宋体" w:eastAsia="宋体" w:cs="宋体"/>
          <w:highlight w:val="none"/>
        </w:rPr>
        <w:t>DIP</w:t>
      </w:r>
      <w:r>
        <w:rPr>
          <w:rFonts w:hint="eastAsia" w:ascii="宋体" w:hAnsi="宋体" w:eastAsia="宋体" w:cs="宋体"/>
          <w:highlight w:val="none"/>
        </w:rPr>
        <w:t>监控首页</w:t>
      </w:r>
    </w:p>
    <w:p w14:paraId="6F18FAA6">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DIP监控首页</w:t>
      </w:r>
      <w:r>
        <w:rPr>
          <w:rFonts w:hint="eastAsia" w:ascii="宋体" w:hAnsi="宋体" w:eastAsia="宋体" w:cs="宋体"/>
          <w:sz w:val="24"/>
          <w:szCs w:val="24"/>
          <w:highlight w:val="none"/>
          <w:lang w:val="zh-CN" w:eastAsia="zh-Hans"/>
        </w:rPr>
        <w:t>为工作人员提供全面、直观、具体的数据展示和分析，支持面向院领导和医保科人员，展示按病种分值付费的总体运营情况。</w:t>
      </w:r>
      <w:r>
        <w:rPr>
          <w:rFonts w:hint="eastAsia" w:ascii="宋体" w:hAnsi="宋体" w:eastAsia="宋体" w:cs="宋体"/>
          <w:sz w:val="24"/>
          <w:szCs w:val="24"/>
          <w:highlight w:val="none"/>
          <w:lang w:eastAsia="zh-CN"/>
        </w:rPr>
        <w:t>要求：</w:t>
      </w:r>
    </w:p>
    <w:p w14:paraId="3FAF8B17">
      <w:pPr>
        <w:spacing w:after="120"/>
        <w:ind w:firstLine="440"/>
        <w:rPr>
          <w:rFonts w:ascii="宋体" w:hAnsi="宋体" w:eastAsia="宋体" w:cs="宋体"/>
          <w:sz w:val="24"/>
          <w:szCs w:val="24"/>
          <w:highlight w:val="none"/>
          <w:lang w:val="zh-CN" w:eastAsia="zh-Hans"/>
        </w:rPr>
      </w:pPr>
      <w:r>
        <w:rPr>
          <w:rFonts w:hint="eastAsia" w:ascii="宋体" w:hAnsi="宋体" w:eastAsia="宋体" w:cs="宋体"/>
          <w:sz w:val="24"/>
          <w:szCs w:val="24"/>
          <w:highlight w:val="none"/>
          <w:lang w:val="zh-CN" w:eastAsia="zh-Hans"/>
        </w:rPr>
        <w:t>1. ▲</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lang w:val="zh-CN" w:eastAsia="zh-Hans"/>
        </w:rPr>
        <w:t>提供详细的总体情况指标展示：支持展示总人次、超支结余、住院总费用、记账总费用等总体情况指标，并允许工作人员在细化维度上进行钻取分析，全面地呈现按病种分值付费的运营情况</w:t>
      </w:r>
      <w:r>
        <w:rPr>
          <w:rFonts w:hint="eastAsia" w:ascii="宋体" w:hAnsi="宋体" w:eastAsia="宋体" w:cs="宋体"/>
          <w:sz w:val="24"/>
          <w:szCs w:val="24"/>
          <w:highlight w:val="none"/>
          <w:lang w:eastAsia="zh-CN"/>
        </w:rPr>
        <w:t>（要求提供产品界面截图作为证明材料）</w:t>
      </w:r>
      <w:r>
        <w:rPr>
          <w:rFonts w:hint="eastAsia" w:ascii="宋体" w:hAnsi="宋体" w:eastAsia="宋体" w:cs="宋体"/>
          <w:sz w:val="24"/>
          <w:szCs w:val="24"/>
          <w:highlight w:val="none"/>
          <w:lang w:val="zh-CN" w:eastAsia="zh-Hans"/>
        </w:rPr>
        <w:t>。</w:t>
      </w:r>
    </w:p>
    <w:p w14:paraId="7D525B49">
      <w:pPr>
        <w:spacing w:after="120"/>
        <w:ind w:firstLine="440"/>
        <w:rPr>
          <w:rFonts w:ascii="宋体" w:hAnsi="宋体" w:eastAsia="宋体" w:cs="宋体"/>
          <w:sz w:val="24"/>
          <w:szCs w:val="24"/>
          <w:highlight w:val="none"/>
          <w:lang w:val="zh-CN" w:eastAsia="zh-Hans"/>
        </w:rPr>
      </w:pPr>
      <w:r>
        <w:rPr>
          <w:rFonts w:hint="eastAsia" w:ascii="宋体" w:hAnsi="宋体" w:eastAsia="宋体" w:cs="宋体"/>
          <w:sz w:val="24"/>
          <w:szCs w:val="24"/>
          <w:highlight w:val="none"/>
          <w:lang w:val="zh-CN" w:eastAsia="zh-Hans"/>
        </w:rPr>
        <w:t>2.</w:t>
      </w:r>
      <w:bookmarkStart w:id="16" w:name="_Hlk173520380"/>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lang w:val="zh-CN" w:eastAsia="zh-Hans"/>
        </w:rPr>
        <w:t>支持多项关键指标的展示：提供展示统筹支付率、药占比、耗占比、四级手术率、病种类型占比、基层病种占比和病种偏差情况指标的功能</w:t>
      </w:r>
      <w:bookmarkEnd w:id="16"/>
      <w:r>
        <w:rPr>
          <w:rFonts w:hint="eastAsia" w:ascii="宋体" w:hAnsi="宋体" w:eastAsia="宋体" w:cs="宋体"/>
          <w:sz w:val="24"/>
          <w:szCs w:val="24"/>
          <w:highlight w:val="none"/>
          <w:lang w:val="zh-CN" w:eastAsia="zh-Hans"/>
        </w:rPr>
        <w:t>。</w:t>
      </w:r>
    </w:p>
    <w:p w14:paraId="6FC52F16">
      <w:pPr>
        <w:spacing w:after="120"/>
        <w:ind w:firstLine="440"/>
        <w:rPr>
          <w:rFonts w:ascii="宋体" w:hAnsi="宋体" w:eastAsia="宋体" w:cs="宋体"/>
          <w:sz w:val="24"/>
          <w:szCs w:val="24"/>
          <w:highlight w:val="none"/>
          <w:lang w:val="zh-CN" w:eastAsia="zh-Hans"/>
        </w:rPr>
      </w:pPr>
      <w:r>
        <w:rPr>
          <w:rFonts w:hint="eastAsia" w:ascii="宋体" w:hAnsi="宋体" w:eastAsia="宋体" w:cs="宋体"/>
          <w:sz w:val="24"/>
          <w:szCs w:val="24"/>
          <w:highlight w:val="none"/>
          <w:lang w:val="zh-CN" w:eastAsia="zh-Hans"/>
        </w:rPr>
        <w:t>3.</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lang w:val="zh-CN" w:eastAsia="zh-Hans"/>
        </w:rPr>
        <w:t>提供医疗费用趋势的可视化展示：系统支持CMI月度趋势、住院总费用、记账费用、自费费用等医疗费用的可视化趋势展示，并允许工作人员通过细化维度进行钻取分析，直观地呈现医疗费用的变化趋势。</w:t>
      </w:r>
    </w:p>
    <w:p w14:paraId="2F5C9A59">
      <w:pPr>
        <w:spacing w:after="120"/>
        <w:ind w:firstLine="440"/>
        <w:rPr>
          <w:rFonts w:ascii="宋体" w:hAnsi="宋体" w:eastAsia="宋体" w:cs="宋体"/>
          <w:sz w:val="24"/>
          <w:szCs w:val="24"/>
          <w:highlight w:val="none"/>
          <w:lang w:val="zh-CN" w:eastAsia="zh-Hans"/>
        </w:rPr>
      </w:pPr>
      <w:r>
        <w:rPr>
          <w:rFonts w:hint="eastAsia" w:ascii="宋体" w:hAnsi="宋体" w:eastAsia="宋体" w:cs="宋体"/>
          <w:sz w:val="24"/>
          <w:szCs w:val="24"/>
          <w:highlight w:val="none"/>
          <w:lang w:val="zh-CN" w:eastAsia="zh-Hans"/>
        </w:rPr>
        <w:t xml:space="preserve">4. </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lang w:val="zh-CN" w:eastAsia="zh-Hans"/>
        </w:rPr>
        <w:t>支持费用结构和占比的月度趋势分析：支持费用结构和费用占比的月度趋势可视化分析功能，并允许工作人员在不同维度上进行深入的钻取分析，更好地了解费用结构和占比的变化情况。</w:t>
      </w:r>
    </w:p>
    <w:p w14:paraId="0A87CA85">
      <w:pPr>
        <w:spacing w:after="120"/>
        <w:ind w:firstLine="440"/>
        <w:rPr>
          <w:rFonts w:ascii="宋体" w:hAnsi="宋体" w:eastAsia="宋体" w:cs="宋体"/>
          <w:sz w:val="24"/>
          <w:szCs w:val="24"/>
          <w:highlight w:val="none"/>
          <w:lang w:val="zh-CN" w:eastAsia="zh-Hans"/>
        </w:rPr>
      </w:pPr>
      <w:r>
        <w:rPr>
          <w:rFonts w:hint="eastAsia" w:ascii="宋体" w:hAnsi="宋体" w:eastAsia="宋体" w:cs="宋体"/>
          <w:sz w:val="24"/>
          <w:szCs w:val="24"/>
          <w:highlight w:val="none"/>
          <w:lang w:val="zh-CN" w:eastAsia="zh-Hans"/>
        </w:rPr>
        <w:t xml:space="preserve">5. </w:t>
      </w:r>
      <w:r>
        <w:rPr>
          <w:rFonts w:hint="eastAsia" w:ascii="宋体" w:hAnsi="宋体" w:eastAsia="宋体" w:cs="宋体"/>
          <w:sz w:val="24"/>
          <w:szCs w:val="24"/>
          <w:highlight w:val="none"/>
          <w:lang w:eastAsia="zh-CN"/>
        </w:rPr>
        <w:t>需</w:t>
      </w:r>
      <w:r>
        <w:rPr>
          <w:rFonts w:hint="eastAsia" w:ascii="宋体" w:hAnsi="宋体" w:eastAsia="宋体" w:cs="宋体"/>
          <w:sz w:val="24"/>
          <w:szCs w:val="24"/>
          <w:highlight w:val="none"/>
          <w:lang w:val="zh-CN" w:eastAsia="zh-Hans"/>
        </w:rPr>
        <w:t>提供超额和结余科室、病种的排名分析：系统将提供超额和结余科室、病种的排名分析功能，更好地了解不同科室、病种在按病种分值付费中的表现和差异。</w:t>
      </w:r>
    </w:p>
    <w:p w14:paraId="5C780ACB">
      <w:pPr>
        <w:pStyle w:val="4"/>
        <w:numPr>
          <w:ilvl w:val="2"/>
          <w:numId w:val="0"/>
        </w:numPr>
        <w:rPr>
          <w:rFonts w:ascii="宋体" w:hAnsi="宋体" w:eastAsia="宋体" w:cs="宋体"/>
          <w:highlight w:val="none"/>
        </w:rPr>
      </w:pPr>
      <w:r>
        <w:rPr>
          <w:rFonts w:hint="eastAsia" w:ascii="宋体" w:hAnsi="宋体" w:eastAsia="宋体" w:cs="宋体"/>
          <w:szCs w:val="32"/>
          <w:highlight w:val="none"/>
        </w:rPr>
        <w:t>6.2.2</w:t>
      </w:r>
      <w:r>
        <w:rPr>
          <w:rFonts w:hint="eastAsia" w:ascii="宋体" w:hAnsi="宋体" w:eastAsia="宋体" w:cs="宋体"/>
          <w:highlight w:val="none"/>
        </w:rPr>
        <w:t>D</w:t>
      </w:r>
      <w:r>
        <w:rPr>
          <w:rFonts w:ascii="宋体" w:hAnsi="宋体" w:eastAsia="宋体" w:cs="宋体"/>
          <w:highlight w:val="none"/>
        </w:rPr>
        <w:t>IP</w:t>
      </w:r>
      <w:r>
        <w:rPr>
          <w:rFonts w:hint="eastAsia" w:ascii="宋体" w:hAnsi="宋体" w:eastAsia="宋体" w:cs="宋体"/>
          <w:highlight w:val="none"/>
        </w:rPr>
        <w:t>核心指标监控分析</w:t>
      </w:r>
    </w:p>
    <w:p w14:paraId="2F1DBE3B">
      <w:pPr>
        <w:spacing w:after="0"/>
        <w:ind w:firstLine="442"/>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对D</w:t>
      </w:r>
      <w:r>
        <w:rPr>
          <w:rFonts w:ascii="宋体" w:hAnsi="宋体" w:eastAsia="宋体" w:cs="宋体"/>
          <w:sz w:val="24"/>
          <w:szCs w:val="24"/>
          <w:highlight w:val="none"/>
          <w:lang w:eastAsia="zh-CN"/>
        </w:rPr>
        <w:t>IP</w:t>
      </w:r>
      <w:r>
        <w:rPr>
          <w:rFonts w:hint="eastAsia" w:ascii="宋体" w:hAnsi="宋体" w:eastAsia="宋体" w:cs="宋体"/>
          <w:sz w:val="24"/>
          <w:szCs w:val="24"/>
          <w:highlight w:val="none"/>
          <w:lang w:eastAsia="zh-CN"/>
        </w:rPr>
        <w:t>核心指标进行监控分析，包含：</w:t>
      </w:r>
    </w:p>
    <w:p w14:paraId="70C87A53">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▲病种CMI月度趋势分析（要求提供产品界面截图作为证明材料）</w:t>
      </w:r>
    </w:p>
    <w:p w14:paraId="544C45E4">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核心病种占比分析</w:t>
      </w:r>
    </w:p>
    <w:p w14:paraId="6EF715C2">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基层病种占比分析</w:t>
      </w:r>
    </w:p>
    <w:p w14:paraId="3A6B6B77">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病种入组趋势分析</w:t>
      </w:r>
    </w:p>
    <w:p w14:paraId="324A3A60">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结余/超支病种排名分析</w:t>
      </w:r>
    </w:p>
    <w:p w14:paraId="74FF69BE">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6)</w:t>
      </w:r>
      <w:r>
        <w:rPr>
          <w:rFonts w:hint="eastAsia" w:ascii="宋体" w:hAnsi="宋体" w:eastAsia="宋体" w:cs="宋体"/>
          <w:sz w:val="24"/>
          <w:szCs w:val="24"/>
          <w:highlight w:val="none"/>
          <w:lang w:eastAsia="zh-CN"/>
        </w:rPr>
        <w:t>结余/超支科室排名分析</w:t>
      </w:r>
    </w:p>
    <w:p w14:paraId="19A44123">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7)</w:t>
      </w:r>
      <w:r>
        <w:rPr>
          <w:rFonts w:hint="eastAsia" w:ascii="宋体" w:hAnsi="宋体" w:eastAsia="宋体" w:cs="宋体"/>
          <w:sz w:val="24"/>
          <w:szCs w:val="24"/>
          <w:highlight w:val="none"/>
          <w:lang w:eastAsia="zh-CN"/>
        </w:rPr>
        <w:t>病种偏差结构分析</w:t>
      </w:r>
    </w:p>
    <w:p w14:paraId="29951E19">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8)</w:t>
      </w:r>
      <w:r>
        <w:rPr>
          <w:rFonts w:hint="eastAsia" w:ascii="宋体" w:hAnsi="宋体" w:eastAsia="宋体" w:cs="宋体"/>
          <w:sz w:val="24"/>
          <w:szCs w:val="24"/>
          <w:highlight w:val="none"/>
          <w:lang w:eastAsia="zh-CN"/>
        </w:rPr>
        <w:t>病种分值分布分析</w:t>
      </w:r>
    </w:p>
    <w:p w14:paraId="72268E1D">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9)</w:t>
      </w:r>
      <w:r>
        <w:rPr>
          <w:rFonts w:hint="eastAsia" w:ascii="宋体" w:hAnsi="宋体" w:eastAsia="宋体" w:cs="宋体"/>
          <w:sz w:val="24"/>
          <w:szCs w:val="24"/>
          <w:highlight w:val="none"/>
          <w:lang w:eastAsia="zh-CN"/>
        </w:rPr>
        <w:t>病种费用结构分析</w:t>
      </w:r>
    </w:p>
    <w:p w14:paraId="6D6983CE">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10)</w:t>
      </w:r>
      <w:r>
        <w:rPr>
          <w:rFonts w:hint="eastAsia" w:ascii="宋体" w:hAnsi="宋体" w:eastAsia="宋体" w:cs="宋体"/>
          <w:sz w:val="24"/>
          <w:szCs w:val="24"/>
          <w:highlight w:val="none"/>
          <w:lang w:eastAsia="zh-CN"/>
        </w:rPr>
        <w:t>四级手术占比分析</w:t>
      </w:r>
    </w:p>
    <w:p w14:paraId="1841000A">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11)</w:t>
      </w:r>
      <w:r>
        <w:rPr>
          <w:rFonts w:hint="eastAsia" w:ascii="宋体" w:hAnsi="宋体" w:eastAsia="宋体" w:cs="宋体"/>
          <w:sz w:val="24"/>
          <w:szCs w:val="24"/>
          <w:highlight w:val="none"/>
          <w:lang w:eastAsia="zh-CN"/>
        </w:rPr>
        <w:t>微创手术占比分析</w:t>
      </w:r>
    </w:p>
    <w:p w14:paraId="38687A07">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12)</w:t>
      </w:r>
      <w:r>
        <w:rPr>
          <w:rFonts w:hint="eastAsia" w:ascii="宋体" w:hAnsi="宋体" w:eastAsia="宋体" w:cs="宋体"/>
          <w:sz w:val="24"/>
          <w:szCs w:val="24"/>
          <w:highlight w:val="none"/>
          <w:lang w:eastAsia="zh-CN"/>
        </w:rPr>
        <w:t>费用消耗指数分析</w:t>
      </w:r>
    </w:p>
    <w:p w14:paraId="04EC2BE7">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13)</w:t>
      </w:r>
      <w:r>
        <w:rPr>
          <w:rFonts w:hint="eastAsia" w:ascii="宋体" w:hAnsi="宋体" w:eastAsia="宋体" w:cs="宋体"/>
          <w:sz w:val="24"/>
          <w:szCs w:val="24"/>
          <w:highlight w:val="none"/>
          <w:lang w:eastAsia="zh-CN"/>
        </w:rPr>
        <w:t>时间消耗指数分析</w:t>
      </w:r>
    </w:p>
    <w:p w14:paraId="7443E6C0">
      <w:pPr>
        <w:pStyle w:val="4"/>
        <w:numPr>
          <w:ilvl w:val="2"/>
          <w:numId w:val="0"/>
        </w:numPr>
        <w:rPr>
          <w:rFonts w:ascii="宋体" w:hAnsi="宋体" w:eastAsia="宋体" w:cs="宋体"/>
          <w:highlight w:val="none"/>
        </w:rPr>
      </w:pPr>
      <w:r>
        <w:rPr>
          <w:rFonts w:hint="eastAsia" w:ascii="宋体" w:hAnsi="宋体" w:eastAsia="宋体" w:cs="宋体"/>
          <w:szCs w:val="32"/>
          <w:highlight w:val="none"/>
        </w:rPr>
        <w:t>6.2.3</w:t>
      </w:r>
      <w:r>
        <w:rPr>
          <w:rFonts w:hint="eastAsia" w:ascii="宋体" w:hAnsi="宋体" w:eastAsia="宋体" w:cs="宋体"/>
          <w:highlight w:val="none"/>
        </w:rPr>
        <w:t>医保运营情况分析</w:t>
      </w:r>
    </w:p>
    <w:p w14:paraId="258DD624">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对医保运营情况进行分析，分析内容应包括：</w:t>
      </w:r>
    </w:p>
    <w:p w14:paraId="61CB13C7">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医保结算人次分析</w:t>
      </w:r>
    </w:p>
    <w:p w14:paraId="28023622">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医保人次人头占比分析</w:t>
      </w:r>
    </w:p>
    <w:p w14:paraId="33CB9835">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医疗总费用分析</w:t>
      </w:r>
    </w:p>
    <w:p w14:paraId="18FC0879">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统筹支付率分析</w:t>
      </w:r>
    </w:p>
    <w:p w14:paraId="4ADCE37E">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自费率分析</w:t>
      </w:r>
    </w:p>
    <w:p w14:paraId="799212D9">
      <w:pPr>
        <w:pStyle w:val="4"/>
        <w:numPr>
          <w:ilvl w:val="2"/>
          <w:numId w:val="0"/>
        </w:numPr>
        <w:rPr>
          <w:rFonts w:ascii="宋体" w:hAnsi="宋体" w:eastAsia="宋体" w:cs="宋体"/>
          <w:highlight w:val="none"/>
        </w:rPr>
      </w:pPr>
      <w:r>
        <w:rPr>
          <w:rFonts w:hint="eastAsia" w:ascii="宋体" w:hAnsi="宋体" w:eastAsia="宋体" w:cs="宋体"/>
          <w:szCs w:val="32"/>
          <w:highlight w:val="none"/>
        </w:rPr>
        <w:t>6.2.4</w:t>
      </w:r>
      <w:r>
        <w:rPr>
          <w:rFonts w:hint="eastAsia" w:ascii="宋体" w:hAnsi="宋体" w:eastAsia="宋体" w:cs="宋体"/>
          <w:highlight w:val="none"/>
        </w:rPr>
        <w:t>医保费用情况分析</w:t>
      </w:r>
    </w:p>
    <w:p w14:paraId="4FB6CAC2">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对医保费用情况进行分析，分析内容应包括：</w:t>
      </w:r>
    </w:p>
    <w:p w14:paraId="25A80511">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药占比费用情况分析</w:t>
      </w:r>
    </w:p>
    <w:p w14:paraId="054E06F8">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耗材占比费用情况分析</w:t>
      </w:r>
    </w:p>
    <w:p w14:paraId="382BBE60">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检查检验占比费用情况分析</w:t>
      </w:r>
    </w:p>
    <w:p w14:paraId="508D27A3">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手术费用占比费用情况分析</w:t>
      </w:r>
    </w:p>
    <w:p w14:paraId="60D5F9C6">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麻醉费用占比费用情况分析</w:t>
      </w:r>
    </w:p>
    <w:p w14:paraId="0112C376">
      <w:pPr>
        <w:pStyle w:val="4"/>
        <w:numPr>
          <w:ilvl w:val="2"/>
          <w:numId w:val="0"/>
        </w:numPr>
        <w:rPr>
          <w:rFonts w:ascii="宋体" w:hAnsi="宋体" w:eastAsia="宋体" w:cs="宋体"/>
          <w:highlight w:val="none"/>
        </w:rPr>
      </w:pPr>
      <w:r>
        <w:rPr>
          <w:rFonts w:hint="eastAsia" w:ascii="宋体" w:hAnsi="宋体" w:eastAsia="宋体" w:cs="宋体"/>
          <w:szCs w:val="32"/>
          <w:highlight w:val="none"/>
        </w:rPr>
        <w:t>6.2.5</w:t>
      </w:r>
      <w:r>
        <w:rPr>
          <w:rFonts w:hint="eastAsia" w:ascii="宋体" w:hAnsi="宋体" w:eastAsia="宋体" w:cs="宋体"/>
          <w:highlight w:val="none"/>
        </w:rPr>
        <w:t>报表配置管理</w:t>
      </w:r>
    </w:p>
    <w:p w14:paraId="7B2108DF">
      <w:pPr>
        <w:spacing w:after="120"/>
        <w:ind w:firstLine="440"/>
        <w:rPr>
          <w:rFonts w:ascii="宋体" w:hAnsi="宋体" w:eastAsia="宋体" w:cs="宋体"/>
          <w:sz w:val="24"/>
          <w:szCs w:val="24"/>
          <w:highlight w:val="none"/>
          <w:lang w:val="zh-CN" w:eastAsia="zh-CN"/>
        </w:rPr>
      </w:pPr>
      <w:r>
        <w:rPr>
          <w:rFonts w:hint="eastAsia" w:ascii="宋体" w:hAnsi="宋体" w:eastAsia="宋体" w:cs="宋体"/>
          <w:sz w:val="24"/>
          <w:szCs w:val="24"/>
          <w:highlight w:val="none"/>
          <w:lang w:eastAsia="zh-CN"/>
        </w:rPr>
        <w:t>对D</w:t>
      </w:r>
      <w:r>
        <w:rPr>
          <w:rFonts w:ascii="宋体" w:hAnsi="宋体" w:eastAsia="宋体" w:cs="宋体"/>
          <w:sz w:val="24"/>
          <w:szCs w:val="24"/>
          <w:highlight w:val="none"/>
          <w:lang w:eastAsia="zh-CN"/>
        </w:rPr>
        <w:t>IP</w:t>
      </w:r>
      <w:r>
        <w:rPr>
          <w:rFonts w:hint="eastAsia" w:ascii="宋体" w:hAnsi="宋体" w:eastAsia="宋体" w:cs="宋体"/>
          <w:sz w:val="24"/>
          <w:szCs w:val="24"/>
          <w:highlight w:val="none"/>
          <w:lang w:eastAsia="zh-CN"/>
        </w:rPr>
        <w:t>精细化分析的各项报表提供相应的配置，要求：</w:t>
      </w:r>
    </w:p>
    <w:p w14:paraId="49597885">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支持查看全院、科室、诊疗组、病种不同维度</w:t>
      </w:r>
    </w:p>
    <w:p w14:paraId="28579E23">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支持数据下钻查看患者明细</w:t>
      </w:r>
    </w:p>
    <w:p w14:paraId="3D672D15">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支持数据导出</w:t>
      </w:r>
    </w:p>
    <w:p w14:paraId="0365C91F">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4)</w:t>
      </w:r>
      <w:r>
        <w:rPr>
          <w:rFonts w:hint="eastAsia" w:ascii="宋体" w:hAnsi="宋体" w:eastAsia="宋体" w:cs="宋体"/>
          <w:sz w:val="24"/>
          <w:szCs w:val="24"/>
          <w:highlight w:val="none"/>
          <w:lang w:eastAsia="zh-CN"/>
        </w:rPr>
        <w:t>支持数据权限隔离，根据院领导、医保科、科主任、诊疗组医生等用户角色展示数据可见范围</w:t>
      </w:r>
    </w:p>
    <w:p w14:paraId="7E6B13F7">
      <w:pPr>
        <w:pStyle w:val="14"/>
        <w:spacing w:after="0"/>
        <w:ind w:left="882" w:hanging="440"/>
        <w:rPr>
          <w:rFonts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hint="eastAsia" w:ascii="宋体" w:hAnsi="宋体" w:eastAsia="宋体" w:cs="宋体"/>
          <w:sz w:val="24"/>
          <w:szCs w:val="24"/>
          <w:highlight w:val="none"/>
          <w:lang w:eastAsia="zh-CN"/>
        </w:rPr>
        <w:t>支持按照时间、科室、人员类型等不同维度进行筛选查询</w:t>
      </w:r>
    </w:p>
    <w:p w14:paraId="1E00B568">
      <w:pPr>
        <w:pStyle w:val="3"/>
        <w:numPr>
          <w:ilvl w:val="1"/>
          <w:numId w:val="0"/>
        </w:numPr>
        <w:rPr>
          <w:rFonts w:ascii="宋体" w:hAnsi="宋体" w:eastAsia="宋体" w:cs="宋体"/>
          <w:sz w:val="28"/>
          <w:szCs w:val="24"/>
          <w:highlight w:val="none"/>
        </w:rPr>
      </w:pPr>
      <w:bookmarkStart w:id="17" w:name="_Toc991370666"/>
      <w:r>
        <w:rPr>
          <w:rFonts w:hint="eastAsia" w:ascii="宋体" w:hAnsi="宋体" w:eastAsia="宋体" w:cs="宋体"/>
          <w:sz w:val="28"/>
          <w:szCs w:val="28"/>
          <w:highlight w:val="none"/>
        </w:rPr>
        <w:t>6.3</w:t>
      </w:r>
      <w:r>
        <w:rPr>
          <w:rFonts w:hint="eastAsia" w:ascii="宋体" w:hAnsi="宋体" w:eastAsia="宋体" w:cs="宋体"/>
          <w:sz w:val="28"/>
          <w:szCs w:val="24"/>
          <w:highlight w:val="none"/>
        </w:rPr>
        <w:t>结算清单管理</w:t>
      </w:r>
    </w:p>
    <w:p w14:paraId="08379D57">
      <w:pPr>
        <w:pStyle w:val="4"/>
        <w:numPr>
          <w:ilvl w:val="2"/>
          <w:numId w:val="0"/>
        </w:numPr>
        <w:rPr>
          <w:rFonts w:ascii="宋体" w:hAnsi="宋体" w:eastAsia="宋体" w:cs="宋体"/>
          <w:highlight w:val="none"/>
        </w:rPr>
      </w:pPr>
      <w:r>
        <w:rPr>
          <w:rFonts w:hint="eastAsia" w:ascii="宋体" w:hAnsi="宋体" w:eastAsia="宋体" w:cs="宋体"/>
          <w:szCs w:val="32"/>
          <w:highlight w:val="none"/>
        </w:rPr>
        <w:t>6.3.1</w:t>
      </w:r>
      <w:r>
        <w:rPr>
          <w:rFonts w:hint="eastAsia" w:ascii="宋体" w:hAnsi="宋体" w:eastAsia="宋体" w:cs="宋体"/>
          <w:highlight w:val="none"/>
        </w:rPr>
        <w:t>结算清单质控首页</w:t>
      </w:r>
    </w:p>
    <w:p w14:paraId="1DC40DA3">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提供清单整体质控情况概览，为病案室、医保科提供关于清单审核的流程处理，针对质控、审核情况做统一跟进。</w:t>
      </w:r>
    </w:p>
    <w:p w14:paraId="7B37770F">
      <w:pPr>
        <w:pStyle w:val="14"/>
        <w:numPr>
          <w:ilvl w:val="3"/>
          <w:numId w:val="0"/>
        </w:numPr>
        <w:spacing w:after="0"/>
        <w:ind w:left="426" w:hanging="440"/>
        <w:rPr>
          <w:rFonts w:ascii="宋体" w:hAnsi="宋体"/>
          <w:sz w:val="24"/>
          <w:szCs w:val="24"/>
          <w:highlight w:val="none"/>
          <w:lang w:eastAsia="zh-CN"/>
        </w:rPr>
      </w:pPr>
      <w:r>
        <w:rPr>
          <w:rFonts w:ascii="宋体" w:hAnsi="宋体"/>
          <w:sz w:val="24"/>
          <w:szCs w:val="24"/>
          <w:highlight w:val="none"/>
          <w:lang w:eastAsia="zh-CN"/>
        </w:rPr>
        <w:t>1.</w:t>
      </w:r>
      <w:r>
        <w:rPr>
          <w:rFonts w:hint="eastAsia" w:ascii="宋体" w:hAnsi="宋体"/>
          <w:sz w:val="24"/>
          <w:szCs w:val="24"/>
          <w:highlight w:val="none"/>
          <w:lang w:eastAsia="zh-CN"/>
        </w:rPr>
        <w:t>对医保结算清单质控情况从数量上进行统计，展示全院结算清单整体质量情况，要求提供结算清单中已作废数量、待审核数量、归档数量、带修正数量、已修正数量、强制通过数量等；</w:t>
      </w:r>
    </w:p>
    <w:p w14:paraId="545C86B6">
      <w:pPr>
        <w:pStyle w:val="14"/>
        <w:numPr>
          <w:ilvl w:val="3"/>
          <w:numId w:val="0"/>
        </w:numPr>
        <w:spacing w:after="0"/>
        <w:ind w:left="426" w:hanging="440"/>
        <w:rPr>
          <w:rFonts w:ascii="宋体" w:hAnsi="宋体"/>
          <w:sz w:val="24"/>
          <w:szCs w:val="24"/>
          <w:highlight w:val="none"/>
          <w:lang w:eastAsia="zh-CN"/>
        </w:rPr>
      </w:pPr>
      <w:r>
        <w:rPr>
          <w:rFonts w:ascii="宋体" w:hAnsi="宋体"/>
          <w:sz w:val="24"/>
          <w:szCs w:val="24"/>
          <w:highlight w:val="none"/>
          <w:lang w:eastAsia="zh-CN"/>
        </w:rPr>
        <w:t>2.</w:t>
      </w:r>
      <w:r>
        <w:rPr>
          <w:rFonts w:hint="eastAsia" w:asciiTheme="minorEastAsia" w:hAnsiTheme="minorEastAsia"/>
          <w:sz w:val="24"/>
          <w:szCs w:val="24"/>
          <w:highlight w:val="none"/>
          <w:lang w:eastAsia="zh-CN"/>
        </w:rPr>
        <w:t>▲</w:t>
      </w:r>
      <w:r>
        <w:rPr>
          <w:rFonts w:hint="eastAsia" w:ascii="宋体" w:hAnsi="宋体"/>
          <w:sz w:val="24"/>
          <w:szCs w:val="24"/>
          <w:highlight w:val="none"/>
          <w:lang w:eastAsia="zh-CN"/>
        </w:rPr>
        <w:t>对结算清单质控情况从调整行为上进行统计，展示调整后分值增加的清单数量、有中医诊断的数量、主诊断与其他诊断重复的数量、重编码后增加的分值、单条修改的数量等</w:t>
      </w:r>
      <w:r>
        <w:rPr>
          <w:rFonts w:hint="eastAsia" w:ascii="宋体" w:hAnsi="宋体" w:eastAsia="宋体" w:cs="宋体"/>
          <w:sz w:val="24"/>
          <w:szCs w:val="24"/>
          <w:highlight w:val="none"/>
          <w:lang w:eastAsia="zh-CN"/>
        </w:rPr>
        <w:t>（要求提供产品界面截图作为证明材料）</w:t>
      </w:r>
      <w:r>
        <w:rPr>
          <w:rFonts w:hint="eastAsia" w:ascii="宋体" w:hAnsi="宋体"/>
          <w:sz w:val="24"/>
          <w:szCs w:val="24"/>
          <w:highlight w:val="none"/>
          <w:lang w:eastAsia="zh-CN"/>
        </w:rPr>
        <w:t>；</w:t>
      </w:r>
    </w:p>
    <w:p w14:paraId="10470B9F">
      <w:pPr>
        <w:pStyle w:val="14"/>
        <w:numPr>
          <w:ilvl w:val="3"/>
          <w:numId w:val="0"/>
        </w:numPr>
        <w:spacing w:after="0"/>
        <w:ind w:left="426" w:hanging="440"/>
        <w:rPr>
          <w:rFonts w:ascii="宋体" w:hAnsi="宋体"/>
          <w:sz w:val="24"/>
          <w:szCs w:val="24"/>
          <w:highlight w:val="none"/>
          <w:lang w:eastAsia="zh-CN"/>
        </w:rPr>
      </w:pPr>
      <w:bookmarkStart w:id="18" w:name="_Hlk174110651"/>
      <w:r>
        <w:rPr>
          <w:rFonts w:ascii="宋体" w:hAnsi="宋体"/>
          <w:sz w:val="24"/>
          <w:szCs w:val="24"/>
          <w:highlight w:val="none"/>
          <w:lang w:eastAsia="zh-CN"/>
        </w:rPr>
        <w:t>3.</w:t>
      </w:r>
      <w:r>
        <w:rPr>
          <w:rFonts w:hint="eastAsia" w:ascii="宋体" w:hAnsi="宋体"/>
          <w:sz w:val="24"/>
          <w:szCs w:val="24"/>
          <w:highlight w:val="none"/>
          <w:lang w:eastAsia="zh-CN"/>
        </w:rPr>
        <w:t>基于质控问题对结算清单问题进行统计，展示随着时间的发展趋势，我院历史质控问题的数量和种类的变化趋势</w:t>
      </w:r>
      <w:bookmarkEnd w:id="18"/>
      <w:r>
        <w:rPr>
          <w:rFonts w:hint="eastAsia" w:ascii="宋体" w:hAnsi="宋体" w:eastAsia="宋体" w:cs="宋体"/>
          <w:sz w:val="24"/>
          <w:szCs w:val="24"/>
          <w:highlight w:val="none"/>
          <w:lang w:eastAsia="zh-CN"/>
        </w:rPr>
        <w:t>（要求提供现场系统演示）</w:t>
      </w:r>
      <w:r>
        <w:rPr>
          <w:rFonts w:hint="eastAsia" w:ascii="宋体" w:hAnsi="宋体"/>
          <w:sz w:val="24"/>
          <w:szCs w:val="24"/>
          <w:highlight w:val="none"/>
          <w:lang w:eastAsia="zh-CN"/>
        </w:rPr>
        <w:t>；</w:t>
      </w:r>
    </w:p>
    <w:p w14:paraId="1483BE14">
      <w:pPr>
        <w:pStyle w:val="4"/>
        <w:numPr>
          <w:ilvl w:val="2"/>
          <w:numId w:val="0"/>
        </w:numPr>
        <w:rPr>
          <w:rFonts w:ascii="宋体" w:hAnsi="宋体" w:eastAsia="宋体" w:cs="宋体"/>
          <w:highlight w:val="none"/>
        </w:rPr>
      </w:pPr>
      <w:r>
        <w:rPr>
          <w:rFonts w:hint="eastAsia" w:ascii="宋体" w:hAnsi="宋体" w:eastAsia="宋体" w:cs="宋体"/>
          <w:szCs w:val="32"/>
          <w:highlight w:val="none"/>
        </w:rPr>
        <w:t>6.3.2</w:t>
      </w:r>
      <w:r>
        <w:rPr>
          <w:rFonts w:hint="eastAsia" w:ascii="宋体" w:hAnsi="宋体" w:eastAsia="宋体" w:cs="宋体"/>
          <w:highlight w:val="none"/>
        </w:rPr>
        <w:t>质控管理</w:t>
      </w:r>
    </w:p>
    <w:p w14:paraId="12A2318F">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系统需支持对结算清单数据进行质控处理，</w:t>
      </w:r>
      <w:r>
        <w:rPr>
          <w:rFonts w:hint="eastAsia" w:asciiTheme="minorEastAsia" w:hAnsiTheme="minorEastAsia"/>
          <w:sz w:val="24"/>
          <w:szCs w:val="24"/>
          <w:highlight w:val="none"/>
          <w:lang w:eastAsia="zh-CN"/>
        </w:rPr>
        <w:t>根据内置的质控规则，系统自动对结算清单进行自动或手动的质控检查，判断是否符合规定的质控要求：</w:t>
      </w:r>
    </w:p>
    <w:p w14:paraId="636E8C2B">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1.</w:t>
      </w:r>
      <w:r>
        <w:rPr>
          <w:rFonts w:hint="eastAsia" w:asciiTheme="minorEastAsia" w:hAnsiTheme="minorEastAsia"/>
          <w:sz w:val="24"/>
          <w:szCs w:val="24"/>
          <w:highlight w:val="none"/>
          <w:lang w:eastAsia="zh-CN"/>
        </w:rPr>
        <w:t>对患者结算清单信息进行智能审核，对于不符合规范的数据项，系统将对其进行特别标注，并提供质控审核建议，指导工作人员修改；</w:t>
      </w:r>
    </w:p>
    <w:p w14:paraId="245EB474">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2.</w:t>
      </w:r>
      <w:r>
        <w:rPr>
          <w:rFonts w:hint="eastAsia" w:asciiTheme="minorEastAsia" w:hAnsiTheme="minorEastAsia"/>
          <w:sz w:val="24"/>
          <w:szCs w:val="24"/>
          <w:highlight w:val="none"/>
          <w:lang w:eastAsia="zh-CN"/>
        </w:rPr>
        <w:t>▲通过从完整性、规范性等对结算清单发现的问题进行分门别类归类</w:t>
      </w:r>
      <w:r>
        <w:rPr>
          <w:rFonts w:hint="eastAsia" w:ascii="宋体" w:hAnsi="宋体" w:eastAsia="宋体" w:cs="宋体"/>
          <w:sz w:val="24"/>
          <w:szCs w:val="24"/>
          <w:highlight w:val="none"/>
          <w:lang w:eastAsia="zh-CN"/>
        </w:rPr>
        <w:t>（要求提供产品界面截图作为证明材料）</w:t>
      </w:r>
      <w:r>
        <w:rPr>
          <w:rFonts w:hint="eastAsia" w:asciiTheme="minorEastAsia" w:hAnsiTheme="minorEastAsia"/>
          <w:sz w:val="24"/>
          <w:szCs w:val="24"/>
          <w:highlight w:val="none"/>
          <w:lang w:eastAsia="zh-CN"/>
        </w:rPr>
        <w:t>；</w:t>
      </w:r>
    </w:p>
    <w:p w14:paraId="48746BD8">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3.</w:t>
      </w:r>
      <w:r>
        <w:rPr>
          <w:rFonts w:hint="eastAsia" w:asciiTheme="minorEastAsia" w:hAnsiTheme="minorEastAsia"/>
          <w:sz w:val="24"/>
          <w:szCs w:val="24"/>
          <w:highlight w:val="none"/>
          <w:lang w:eastAsia="zh-CN"/>
        </w:rPr>
        <w:t>支持工作人员对每次修改的操作原因进行编写，并予以提交保存，方便查看修改记录；</w:t>
      </w:r>
    </w:p>
    <w:p w14:paraId="77618184">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4.</w:t>
      </w:r>
      <w:r>
        <w:rPr>
          <w:rFonts w:hint="eastAsia" w:asciiTheme="minorEastAsia" w:hAnsiTheme="minorEastAsia"/>
          <w:sz w:val="24"/>
          <w:szCs w:val="24"/>
          <w:highlight w:val="none"/>
          <w:lang w:eastAsia="zh-CN"/>
        </w:rPr>
        <w:t>支持在结算清单审核结果页面展示该患者的入组结果，包括分组名称、是否主诊断、病种组合名称、代码等信息；</w:t>
      </w:r>
    </w:p>
    <w:p w14:paraId="5F363B15">
      <w:pPr>
        <w:pStyle w:val="14"/>
        <w:spacing w:after="0"/>
        <w:ind w:left="426" w:hanging="440"/>
        <w:rPr>
          <w:rFonts w:asciiTheme="minorEastAsia" w:hAnsiTheme="minorEastAsia"/>
          <w:sz w:val="24"/>
          <w:szCs w:val="24"/>
          <w:highlight w:val="none"/>
          <w:lang w:eastAsia="zh-CN"/>
        </w:rPr>
      </w:pPr>
      <w:bookmarkStart w:id="19" w:name="_Hlk174112028"/>
      <w:r>
        <w:rPr>
          <w:rFonts w:asciiTheme="minorEastAsia" w:hAnsiTheme="minorEastAsia"/>
          <w:sz w:val="24"/>
          <w:szCs w:val="24"/>
          <w:highlight w:val="none"/>
          <w:lang w:eastAsia="zh-CN"/>
        </w:rPr>
        <w:t>5.</w:t>
      </w:r>
      <w:r>
        <w:rPr>
          <w:rFonts w:hint="eastAsia" w:asciiTheme="minorEastAsia" w:hAnsiTheme="minorEastAsia"/>
          <w:sz w:val="24"/>
          <w:szCs w:val="24"/>
          <w:highlight w:val="none"/>
          <w:lang w:eastAsia="zh-CN"/>
        </w:rPr>
        <w:t>支持以时间轴的方式，将每份结算清单历次的状态、修改人、修改时间、修改审核意见等进行整理，对问题留痕</w:t>
      </w:r>
      <w:bookmarkEnd w:id="19"/>
      <w:r>
        <w:rPr>
          <w:rFonts w:hint="eastAsia" w:ascii="宋体" w:hAnsi="宋体" w:eastAsia="宋体" w:cs="宋体"/>
          <w:sz w:val="24"/>
          <w:szCs w:val="24"/>
          <w:highlight w:val="none"/>
          <w:lang w:eastAsia="zh-CN"/>
        </w:rPr>
        <w:t>（要求提供现场系统演示）</w:t>
      </w:r>
      <w:r>
        <w:rPr>
          <w:rFonts w:hint="eastAsia" w:asciiTheme="minorEastAsia" w:hAnsiTheme="minorEastAsia"/>
          <w:sz w:val="24"/>
          <w:szCs w:val="24"/>
          <w:highlight w:val="none"/>
          <w:lang w:eastAsia="zh-CN"/>
        </w:rPr>
        <w:t>；</w:t>
      </w:r>
    </w:p>
    <w:p w14:paraId="7F19D775">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6.</w:t>
      </w:r>
      <w:r>
        <w:rPr>
          <w:rFonts w:hint="eastAsia" w:asciiTheme="minorEastAsia" w:hAnsiTheme="minorEastAsia"/>
          <w:sz w:val="24"/>
          <w:szCs w:val="24"/>
          <w:highlight w:val="none"/>
          <w:lang w:eastAsia="zh-CN"/>
        </w:rPr>
        <w:t>支持以列表的方式，展示患者结算清单质控的整体结果，包括患者姓名、医保业务类型、险种类型、结算号、病案号、出院时间、结算时间、问题总数、状态等；并支持工作人员直接查看患者结算清单质控的详细信息；</w:t>
      </w:r>
    </w:p>
    <w:p w14:paraId="23E46832">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7.</w:t>
      </w:r>
      <w:r>
        <w:rPr>
          <w:rFonts w:hint="eastAsia" w:asciiTheme="minorEastAsia" w:hAnsiTheme="minorEastAsia"/>
          <w:sz w:val="24"/>
          <w:szCs w:val="24"/>
          <w:highlight w:val="none"/>
          <w:lang w:eastAsia="zh-CN"/>
        </w:rPr>
        <w:t>支持通过单选或批量选择的方式，将指定的结算清单信息以P</w:t>
      </w:r>
      <w:r>
        <w:rPr>
          <w:rFonts w:asciiTheme="minorEastAsia" w:hAnsiTheme="minorEastAsia"/>
          <w:sz w:val="24"/>
          <w:szCs w:val="24"/>
          <w:highlight w:val="none"/>
          <w:lang w:eastAsia="zh-CN"/>
        </w:rPr>
        <w:t>DF</w:t>
      </w:r>
      <w:r>
        <w:rPr>
          <w:rFonts w:hint="eastAsia" w:asciiTheme="minorEastAsia" w:hAnsiTheme="minorEastAsia"/>
          <w:sz w:val="24"/>
          <w:szCs w:val="24"/>
          <w:highlight w:val="none"/>
          <w:lang w:eastAsia="zh-CN"/>
        </w:rPr>
        <w:t>或E</w:t>
      </w:r>
      <w:r>
        <w:rPr>
          <w:rFonts w:asciiTheme="minorEastAsia" w:hAnsiTheme="minorEastAsia"/>
          <w:sz w:val="24"/>
          <w:szCs w:val="24"/>
          <w:highlight w:val="none"/>
          <w:lang w:eastAsia="zh-CN"/>
        </w:rPr>
        <w:t>XCEL</w:t>
      </w:r>
      <w:r>
        <w:rPr>
          <w:rFonts w:hint="eastAsia" w:asciiTheme="minorEastAsia" w:hAnsiTheme="minorEastAsia"/>
          <w:sz w:val="24"/>
          <w:szCs w:val="24"/>
          <w:highlight w:val="none"/>
          <w:lang w:eastAsia="zh-CN"/>
        </w:rPr>
        <w:t>的方式导出；</w:t>
      </w:r>
    </w:p>
    <w:p w14:paraId="05722987">
      <w:pPr>
        <w:pStyle w:val="14"/>
        <w:spacing w:after="0"/>
        <w:ind w:left="426" w:hanging="440"/>
        <w:rPr>
          <w:rFonts w:asciiTheme="minorEastAsia" w:hAnsiTheme="minorEastAsia"/>
          <w:sz w:val="24"/>
          <w:szCs w:val="24"/>
          <w:highlight w:val="none"/>
          <w:lang w:eastAsia="zh-CN"/>
        </w:rPr>
      </w:pPr>
      <w:r>
        <w:rPr>
          <w:rFonts w:asciiTheme="minorEastAsia" w:hAnsiTheme="minorEastAsia"/>
          <w:sz w:val="24"/>
          <w:szCs w:val="24"/>
          <w:highlight w:val="none"/>
          <w:lang w:eastAsia="zh-CN"/>
        </w:rPr>
        <w:t>8.</w:t>
      </w:r>
      <w:r>
        <w:rPr>
          <w:rFonts w:hint="eastAsia" w:asciiTheme="minorEastAsia" w:hAnsiTheme="minorEastAsia"/>
          <w:sz w:val="24"/>
          <w:szCs w:val="24"/>
          <w:highlight w:val="none"/>
          <w:lang w:eastAsia="zh-CN"/>
        </w:rPr>
        <w:t>支持提供灵活的检索方式，快速定位符合要求的患者结算清单。</w:t>
      </w:r>
    </w:p>
    <w:p w14:paraId="06D0208D">
      <w:pPr>
        <w:pStyle w:val="4"/>
        <w:numPr>
          <w:ilvl w:val="2"/>
          <w:numId w:val="0"/>
        </w:numPr>
        <w:rPr>
          <w:rFonts w:ascii="宋体" w:hAnsi="宋体" w:eastAsia="宋体" w:cs="宋体"/>
          <w:highlight w:val="none"/>
        </w:rPr>
      </w:pPr>
      <w:r>
        <w:rPr>
          <w:rFonts w:hint="eastAsia" w:ascii="宋体" w:hAnsi="宋体" w:eastAsia="宋体" w:cs="宋体"/>
          <w:szCs w:val="32"/>
          <w:highlight w:val="none"/>
        </w:rPr>
        <w:t>6.3.3</w:t>
      </w:r>
      <w:r>
        <w:rPr>
          <w:rFonts w:hint="eastAsia" w:ascii="宋体" w:hAnsi="宋体" w:eastAsia="宋体" w:cs="宋体"/>
          <w:highlight w:val="none"/>
        </w:rPr>
        <w:t>质控规则管理</w:t>
      </w:r>
    </w:p>
    <w:p w14:paraId="1764981B">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6.3.3.1结算清单质控规则管理</w:t>
      </w:r>
    </w:p>
    <w:p w14:paraId="5E20C4C8">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对结算清单质控规则进行统一管理：</w:t>
      </w:r>
    </w:p>
    <w:p w14:paraId="7D176B7C">
      <w:pPr>
        <w:spacing w:after="0"/>
        <w:ind w:firstLine="442"/>
        <w:rPr>
          <w:rFonts w:ascii="宋体" w:hAnsi="宋体"/>
          <w:sz w:val="24"/>
          <w:szCs w:val="24"/>
          <w:highlight w:val="none"/>
          <w:lang w:eastAsia="zh-CN"/>
        </w:rPr>
      </w:pPr>
      <w:r>
        <w:rPr>
          <w:rFonts w:ascii="宋体" w:hAnsi="宋体"/>
          <w:sz w:val="24"/>
          <w:szCs w:val="24"/>
          <w:highlight w:val="none"/>
          <w:lang w:eastAsia="zh-CN"/>
        </w:rPr>
        <w:t>1</w:t>
      </w:r>
      <w:r>
        <w:rPr>
          <w:rFonts w:hint="eastAsia" w:ascii="宋体" w:hAnsi="宋体"/>
          <w:sz w:val="24"/>
          <w:szCs w:val="24"/>
          <w:highlight w:val="none"/>
          <w:lang w:eastAsia="zh-CN"/>
        </w:rPr>
        <w:t>.系统应根据国家颁发的最新医保结算清单书写规范内容，内置默认的医保结算清单质控规则；</w:t>
      </w:r>
    </w:p>
    <w:p w14:paraId="6C549ACB">
      <w:pPr>
        <w:spacing w:after="0"/>
        <w:ind w:firstLine="442"/>
        <w:rPr>
          <w:rFonts w:ascii="宋体" w:hAnsi="宋体"/>
          <w:sz w:val="24"/>
          <w:szCs w:val="24"/>
          <w:highlight w:val="none"/>
          <w:lang w:eastAsia="zh-CN"/>
        </w:rPr>
      </w:pPr>
      <w:r>
        <w:rPr>
          <w:rFonts w:ascii="宋体" w:hAnsi="宋体"/>
          <w:sz w:val="24"/>
          <w:szCs w:val="24"/>
          <w:highlight w:val="none"/>
          <w:lang w:eastAsia="zh-CN"/>
        </w:rPr>
        <w:t>2.</w:t>
      </w:r>
      <w:r>
        <w:rPr>
          <w:rFonts w:hint="eastAsia" w:ascii="宋体" w:hAnsi="宋体"/>
          <w:sz w:val="24"/>
          <w:szCs w:val="24"/>
          <w:highlight w:val="none"/>
          <w:lang w:eastAsia="zh-CN"/>
        </w:rPr>
        <w:t>▲需支持管理员添加、编辑和删除质控规则，定义不同的质控条件和要求，如费用范围、项目数量、就诊时长等</w:t>
      </w:r>
      <w:r>
        <w:rPr>
          <w:rFonts w:hint="eastAsia" w:ascii="宋体" w:hAnsi="宋体" w:eastAsia="宋体" w:cs="宋体"/>
          <w:sz w:val="24"/>
          <w:szCs w:val="24"/>
          <w:highlight w:val="none"/>
          <w:lang w:eastAsia="zh-CN"/>
        </w:rPr>
        <w:t>（要求提供产品界面截图作为证明材料）</w:t>
      </w:r>
      <w:r>
        <w:rPr>
          <w:rFonts w:hint="eastAsia" w:ascii="宋体" w:hAnsi="宋体"/>
          <w:sz w:val="24"/>
          <w:szCs w:val="24"/>
          <w:highlight w:val="none"/>
          <w:lang w:eastAsia="zh-CN"/>
        </w:rPr>
        <w:t>。</w:t>
      </w:r>
    </w:p>
    <w:p w14:paraId="2EB59062">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3.支持规则分类设定，方便对不同类型的清单进行差异化的质控管理。</w:t>
      </w:r>
    </w:p>
    <w:p w14:paraId="25FBBE3D">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4.支持对现有质控规则的导入、导出。</w:t>
      </w:r>
    </w:p>
    <w:p w14:paraId="0C80C1E8">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6.3.3.2结算清单字典管理</w:t>
      </w:r>
    </w:p>
    <w:p w14:paraId="7939D039">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1.对结算清单涉及的数据项进行分类，以树形结构管理结算清单中的字段字典；</w:t>
      </w:r>
    </w:p>
    <w:p w14:paraId="4B8C5C40">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2.支持管理员添加、编辑和删除字段，设定字段的名称、数据类型、取值范围等。</w:t>
      </w:r>
    </w:p>
    <w:p w14:paraId="7AE22481">
      <w:pPr>
        <w:spacing w:after="0"/>
        <w:ind w:firstLine="442"/>
        <w:rPr>
          <w:rFonts w:ascii="宋体" w:hAnsi="宋体"/>
          <w:sz w:val="24"/>
          <w:szCs w:val="24"/>
          <w:highlight w:val="none"/>
          <w:lang w:eastAsia="zh-CN"/>
        </w:rPr>
      </w:pPr>
      <w:r>
        <w:rPr>
          <w:rFonts w:ascii="宋体" w:hAnsi="宋体"/>
          <w:sz w:val="24"/>
          <w:szCs w:val="24"/>
          <w:highlight w:val="none"/>
          <w:lang w:eastAsia="zh-CN"/>
        </w:rPr>
        <w:t>3</w:t>
      </w:r>
      <w:r>
        <w:rPr>
          <w:rFonts w:hint="eastAsia" w:ascii="宋体" w:hAnsi="宋体"/>
          <w:sz w:val="24"/>
          <w:szCs w:val="24"/>
          <w:highlight w:val="none"/>
          <w:lang w:eastAsia="zh-CN"/>
        </w:rPr>
        <w:t>.需支持管理员根据实际需求管理结算清单中的字段信息，支持质控规则的设定和数据分析。</w:t>
      </w:r>
    </w:p>
    <w:p w14:paraId="751AE6A2">
      <w:pPr>
        <w:pStyle w:val="4"/>
        <w:numPr>
          <w:ilvl w:val="2"/>
          <w:numId w:val="0"/>
        </w:numPr>
        <w:rPr>
          <w:rFonts w:ascii="宋体" w:hAnsi="宋体" w:eastAsia="宋体" w:cs="宋体"/>
          <w:highlight w:val="none"/>
        </w:rPr>
      </w:pPr>
      <w:r>
        <w:rPr>
          <w:rFonts w:hint="eastAsia" w:ascii="宋体" w:hAnsi="宋体" w:eastAsia="宋体" w:cs="宋体"/>
          <w:szCs w:val="32"/>
          <w:highlight w:val="none"/>
        </w:rPr>
        <w:t>6.3.4</w:t>
      </w:r>
      <w:r>
        <w:rPr>
          <w:rFonts w:hint="eastAsia" w:ascii="宋体" w:hAnsi="宋体" w:eastAsia="宋体" w:cs="宋体"/>
          <w:highlight w:val="none"/>
        </w:rPr>
        <w:t>归档清单</w:t>
      </w:r>
    </w:p>
    <w:p w14:paraId="6496FE89">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1.支持对通过质控的结算清单进行归档管理。</w:t>
      </w:r>
    </w:p>
    <w:p w14:paraId="76A8120E">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2.支持管理员将符合质控要求的结算清单归档保存，以便后续的数据分析、审计和证据保全等。</w:t>
      </w:r>
    </w:p>
    <w:p w14:paraId="133D766A">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3.清单归档需支持数据的存储和检索，保证结算清单数据的安全性和可操作性。</w:t>
      </w:r>
    </w:p>
    <w:p w14:paraId="2A71A8AF">
      <w:pPr>
        <w:pStyle w:val="4"/>
        <w:numPr>
          <w:ilvl w:val="2"/>
          <w:numId w:val="0"/>
        </w:numPr>
        <w:rPr>
          <w:rFonts w:ascii="宋体" w:hAnsi="宋体" w:eastAsia="宋体" w:cs="宋体"/>
          <w:highlight w:val="none"/>
        </w:rPr>
      </w:pPr>
      <w:r>
        <w:rPr>
          <w:rFonts w:hint="eastAsia" w:ascii="宋体" w:hAnsi="宋体" w:eastAsia="宋体" w:cs="宋体"/>
          <w:szCs w:val="32"/>
          <w:highlight w:val="none"/>
        </w:rPr>
        <w:t>6.3.5</w:t>
      </w:r>
      <w:r>
        <w:rPr>
          <w:rFonts w:hint="eastAsia" w:ascii="宋体" w:hAnsi="宋体" w:eastAsia="宋体" w:cs="宋体"/>
          <w:highlight w:val="none"/>
        </w:rPr>
        <w:t>质控日志管理</w:t>
      </w:r>
    </w:p>
    <w:p w14:paraId="1E045881">
      <w:pPr>
        <w:spacing w:after="0"/>
        <w:ind w:firstLine="442"/>
        <w:rPr>
          <w:rFonts w:ascii="宋体" w:hAnsi="宋体"/>
          <w:sz w:val="24"/>
          <w:szCs w:val="24"/>
          <w:highlight w:val="none"/>
          <w:lang w:eastAsia="zh-CN"/>
        </w:rPr>
      </w:pPr>
      <w:r>
        <w:rPr>
          <w:rFonts w:hint="eastAsia" w:ascii="宋体" w:hAnsi="宋体"/>
          <w:sz w:val="24"/>
          <w:szCs w:val="24"/>
          <w:highlight w:val="none"/>
          <w:lang w:eastAsia="zh-CN"/>
        </w:rPr>
        <w:t>对结算清单质控过程生成的日志进行统一管理，展示工作人员每次的操作时间、操作类型、操作详情等。</w:t>
      </w:r>
    </w:p>
    <w:p w14:paraId="7B4764A4">
      <w:pPr>
        <w:pStyle w:val="3"/>
        <w:numPr>
          <w:ilvl w:val="1"/>
          <w:numId w:val="0"/>
        </w:numPr>
        <w:rPr>
          <w:rFonts w:ascii="宋体" w:hAnsi="宋体" w:eastAsia="宋体" w:cs="宋体"/>
          <w:sz w:val="28"/>
          <w:szCs w:val="24"/>
          <w:highlight w:val="none"/>
        </w:rPr>
      </w:pPr>
      <w:r>
        <w:rPr>
          <w:rFonts w:hint="eastAsia" w:ascii="宋体" w:hAnsi="宋体" w:eastAsia="宋体" w:cs="宋体"/>
          <w:sz w:val="28"/>
          <w:szCs w:val="28"/>
          <w:highlight w:val="none"/>
        </w:rPr>
        <w:t>6.4</w:t>
      </w:r>
      <w:r>
        <w:rPr>
          <w:rFonts w:hint="eastAsia" w:ascii="宋体" w:hAnsi="宋体" w:eastAsia="宋体" w:cs="宋体"/>
          <w:sz w:val="28"/>
          <w:szCs w:val="24"/>
          <w:highlight w:val="none"/>
        </w:rPr>
        <w:t>违规监管</w:t>
      </w:r>
    </w:p>
    <w:p w14:paraId="48EF029C">
      <w:pPr>
        <w:pStyle w:val="4"/>
        <w:numPr>
          <w:ilvl w:val="2"/>
          <w:numId w:val="0"/>
        </w:numPr>
        <w:rPr>
          <w:rFonts w:ascii="宋体" w:hAnsi="宋体" w:eastAsia="宋体" w:cs="宋体"/>
          <w:highlight w:val="none"/>
        </w:rPr>
      </w:pPr>
      <w:r>
        <w:rPr>
          <w:rFonts w:hint="eastAsia" w:ascii="宋体" w:hAnsi="宋体" w:eastAsia="宋体" w:cs="宋体"/>
          <w:szCs w:val="32"/>
          <w:highlight w:val="none"/>
        </w:rPr>
        <w:t>6.4.1</w:t>
      </w:r>
      <w:r>
        <w:rPr>
          <w:rFonts w:hint="eastAsia" w:ascii="宋体" w:hAnsi="宋体" w:eastAsia="宋体" w:cs="宋体"/>
          <w:highlight w:val="none"/>
        </w:rPr>
        <w:t>医保规则库</w:t>
      </w:r>
    </w:p>
    <w:p w14:paraId="77EDA1B6">
      <w:pPr>
        <w:widowControl w:val="0"/>
        <w:spacing w:after="12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系统</w:t>
      </w:r>
      <w:r>
        <w:rPr>
          <w:rFonts w:hint="eastAsia" w:ascii="宋体" w:hAnsi="宋体" w:eastAsia="宋体" w:cs="Times New Roman"/>
          <w:kern w:val="2"/>
          <w:sz w:val="24"/>
          <w:szCs w:val="24"/>
          <w:highlight w:val="none"/>
          <w:lang w:eastAsia="zh-CN" w:bidi="ar-SA"/>
        </w:rPr>
        <w:t>需</w:t>
      </w:r>
      <w:r>
        <w:rPr>
          <w:rFonts w:hint="eastAsia" w:ascii="宋体" w:hAnsi="宋体" w:eastAsia="宋体" w:cs="Times New Roman"/>
          <w:kern w:val="2"/>
          <w:sz w:val="24"/>
          <w:szCs w:val="24"/>
          <w:highlight w:val="none"/>
          <w:lang w:val="zh-CN" w:eastAsia="zh-CN" w:bidi="ar-SA"/>
        </w:rPr>
        <w:t>建立医保智能审核规则库，根据国家医保局和地方政府的医保政策规则，制定药品）疾病和诊疗方面的智能审核规则。规则库</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包括药品审核知识库）疾病审核知识库和诊疗审核知识库。</w:t>
      </w:r>
    </w:p>
    <w:p w14:paraId="57D061E1">
      <w:pPr>
        <w:pStyle w:val="13"/>
        <w:ind w:left="922" w:hanging="440" w:firstLineChars="0"/>
        <w:rPr>
          <w:rFonts w:ascii="宋体" w:hAnsi="宋体"/>
          <w:b/>
          <w:bCs/>
          <w:szCs w:val="24"/>
          <w:highlight w:val="none"/>
          <w:lang w:val="zh-CN"/>
        </w:rPr>
      </w:pPr>
      <w:r>
        <w:rPr>
          <w:rFonts w:hint="eastAsia" w:ascii="宋体" w:hAnsi="宋体"/>
          <w:b/>
          <w:bCs/>
          <w:szCs w:val="24"/>
          <w:highlight w:val="none"/>
          <w:lang w:val="zh-CN"/>
        </w:rPr>
        <w:t>1.</w:t>
      </w:r>
      <w:r>
        <w:rPr>
          <w:rFonts w:hint="eastAsia"/>
          <w:b/>
          <w:bCs/>
          <w:highlight w:val="none"/>
        </w:rPr>
        <w:t>药品审核知识库</w:t>
      </w:r>
    </w:p>
    <w:p w14:paraId="0E6A2B0D">
      <w:pPr>
        <w:widowControl w:val="0"/>
        <w:spacing w:after="0"/>
        <w:ind w:firstLine="480" w:firstLineChars="200"/>
        <w:rPr>
          <w:rFonts w:ascii="宋体" w:hAnsi="宋体" w:eastAsia="宋体" w:cs="Times New Roman"/>
          <w:kern w:val="2"/>
          <w:sz w:val="24"/>
          <w:szCs w:val="32"/>
          <w:highlight w:val="none"/>
          <w:lang w:eastAsia="zh-Hans" w:bidi="ar-SA"/>
        </w:rPr>
      </w:pPr>
      <w:r>
        <w:rPr>
          <w:rFonts w:hint="eastAsia" w:ascii="宋体" w:hAnsi="宋体" w:eastAsia="宋体" w:cs="Times New Roman"/>
          <w:kern w:val="2"/>
          <w:sz w:val="24"/>
          <w:szCs w:val="32"/>
          <w:highlight w:val="none"/>
          <w:lang w:eastAsia="zh-Hans" w:bidi="ar-SA"/>
        </w:rPr>
        <w:t>规则</w:t>
      </w:r>
      <w:r>
        <w:rPr>
          <w:rFonts w:hint="eastAsia" w:ascii="宋体" w:hAnsi="宋体" w:eastAsia="宋体" w:cs="Times New Roman"/>
          <w:kern w:val="2"/>
          <w:sz w:val="24"/>
          <w:szCs w:val="32"/>
          <w:highlight w:val="none"/>
          <w:lang w:eastAsia="zh-CN" w:bidi="ar-SA"/>
        </w:rPr>
        <w:t>应包括</w:t>
      </w:r>
      <w:r>
        <w:rPr>
          <w:rFonts w:ascii="宋体" w:hAnsi="宋体" w:eastAsia="宋体" w:cs="Times New Roman"/>
          <w:kern w:val="2"/>
          <w:sz w:val="24"/>
          <w:szCs w:val="32"/>
          <w:highlight w:val="none"/>
          <w:lang w:eastAsia="zh-Hans" w:bidi="ar-SA"/>
        </w:rPr>
        <w:t>：</w:t>
      </w:r>
    </w:p>
    <w:p w14:paraId="2E4FAC7D">
      <w:pPr>
        <w:widowControl w:val="0"/>
        <w:spacing w:after="0"/>
        <w:ind w:left="845" w:hanging="425"/>
        <w:jc w:val="both"/>
        <w:rPr>
          <w:rFonts w:ascii="宋体" w:hAnsi="宋体" w:eastAsia="宋体" w:cs="Times New Roman"/>
          <w:kern w:val="2"/>
          <w:sz w:val="24"/>
          <w:szCs w:val="32"/>
          <w:highlight w:val="none"/>
          <w:lang w:eastAsia="zh-CN" w:bidi="ar-SA"/>
        </w:rPr>
      </w:pPr>
      <w:r>
        <w:rPr>
          <w:rFonts w:ascii="宋体" w:hAnsi="宋体" w:eastAsia="宋体" w:cs="Times New Roman"/>
          <w:kern w:val="2"/>
          <w:sz w:val="24"/>
          <w:szCs w:val="32"/>
          <w:highlight w:val="none"/>
          <w:lang w:eastAsia="zh-CN" w:bidi="ar-SA"/>
        </w:rPr>
        <w:t>1)</w:t>
      </w:r>
      <w:r>
        <w:rPr>
          <w:rFonts w:hint="eastAsia" w:ascii="宋体" w:hAnsi="宋体" w:eastAsia="宋体" w:cs="Times New Roman"/>
          <w:kern w:val="2"/>
          <w:sz w:val="24"/>
          <w:szCs w:val="32"/>
          <w:highlight w:val="none"/>
          <w:lang w:eastAsia="zh-CN" w:bidi="ar-SA"/>
        </w:rPr>
        <w:t>限定适应症用药</w:t>
      </w:r>
    </w:p>
    <w:p w14:paraId="2983CFCE">
      <w:pPr>
        <w:widowControl w:val="0"/>
        <w:spacing w:after="0"/>
        <w:ind w:left="845" w:hanging="425"/>
        <w:jc w:val="both"/>
        <w:rPr>
          <w:rFonts w:ascii="宋体" w:hAnsi="宋体" w:eastAsia="宋体" w:cs="Times New Roman"/>
          <w:kern w:val="2"/>
          <w:sz w:val="24"/>
          <w:szCs w:val="32"/>
          <w:highlight w:val="none"/>
          <w:lang w:eastAsia="zh-CN" w:bidi="ar-SA"/>
        </w:rPr>
      </w:pPr>
      <w:r>
        <w:rPr>
          <w:rFonts w:ascii="宋体" w:hAnsi="宋体" w:eastAsia="宋体" w:cs="Times New Roman"/>
          <w:kern w:val="2"/>
          <w:sz w:val="24"/>
          <w:szCs w:val="32"/>
          <w:highlight w:val="none"/>
          <w:lang w:eastAsia="zh-CN" w:bidi="ar-SA"/>
        </w:rPr>
        <w:t>2)</w:t>
      </w:r>
      <w:r>
        <w:rPr>
          <w:rFonts w:hint="eastAsia" w:ascii="宋体" w:hAnsi="宋体" w:eastAsia="宋体" w:cs="Times New Roman"/>
          <w:kern w:val="2"/>
          <w:sz w:val="24"/>
          <w:szCs w:val="32"/>
          <w:highlight w:val="none"/>
          <w:lang w:eastAsia="zh-CN" w:bidi="ar-SA"/>
        </w:rPr>
        <w:t>限定性别用药</w:t>
      </w:r>
    </w:p>
    <w:p w14:paraId="64E74C3F">
      <w:pPr>
        <w:widowControl w:val="0"/>
        <w:spacing w:after="0"/>
        <w:ind w:left="845" w:hanging="425"/>
        <w:jc w:val="both"/>
        <w:rPr>
          <w:rFonts w:ascii="宋体" w:hAnsi="宋体" w:eastAsia="宋体" w:cs="Times New Roman"/>
          <w:kern w:val="2"/>
          <w:sz w:val="24"/>
          <w:szCs w:val="32"/>
          <w:highlight w:val="none"/>
          <w:lang w:eastAsia="zh-CN" w:bidi="ar-SA"/>
        </w:rPr>
      </w:pPr>
      <w:r>
        <w:rPr>
          <w:rFonts w:ascii="宋体" w:hAnsi="宋体" w:eastAsia="宋体" w:cs="Times New Roman"/>
          <w:kern w:val="2"/>
          <w:sz w:val="24"/>
          <w:szCs w:val="32"/>
          <w:highlight w:val="none"/>
          <w:lang w:eastAsia="zh-CN" w:bidi="ar-SA"/>
        </w:rPr>
        <w:t>3)</w:t>
      </w:r>
      <w:r>
        <w:rPr>
          <w:rFonts w:hint="eastAsia" w:ascii="宋体" w:hAnsi="宋体" w:eastAsia="宋体" w:cs="Times New Roman"/>
          <w:kern w:val="2"/>
          <w:sz w:val="24"/>
          <w:szCs w:val="32"/>
          <w:highlight w:val="none"/>
          <w:lang w:eastAsia="zh-CN" w:bidi="ar-SA"/>
        </w:rPr>
        <w:t>限定门诊用药</w:t>
      </w:r>
    </w:p>
    <w:p w14:paraId="75968593">
      <w:pPr>
        <w:widowControl w:val="0"/>
        <w:spacing w:after="0"/>
        <w:ind w:left="845" w:hanging="425"/>
        <w:jc w:val="both"/>
        <w:rPr>
          <w:rFonts w:ascii="宋体" w:hAnsi="宋体" w:eastAsia="宋体" w:cs="Times New Roman"/>
          <w:kern w:val="2"/>
          <w:sz w:val="24"/>
          <w:szCs w:val="32"/>
          <w:highlight w:val="none"/>
          <w:lang w:eastAsia="zh-CN" w:bidi="ar-SA"/>
        </w:rPr>
      </w:pPr>
      <w:r>
        <w:rPr>
          <w:rFonts w:ascii="宋体" w:hAnsi="宋体" w:eastAsia="宋体" w:cs="Times New Roman"/>
          <w:kern w:val="2"/>
          <w:sz w:val="24"/>
          <w:szCs w:val="32"/>
          <w:highlight w:val="none"/>
          <w:lang w:eastAsia="zh-CN" w:bidi="ar-SA"/>
        </w:rPr>
        <w:t>4)</w:t>
      </w:r>
      <w:r>
        <w:rPr>
          <w:rFonts w:hint="eastAsia" w:ascii="宋体" w:hAnsi="宋体" w:eastAsia="宋体" w:cs="Times New Roman"/>
          <w:kern w:val="2"/>
          <w:sz w:val="24"/>
          <w:szCs w:val="32"/>
          <w:highlight w:val="none"/>
          <w:lang w:eastAsia="zh-CN" w:bidi="ar-SA"/>
        </w:rPr>
        <w:t>限定住院用药</w:t>
      </w:r>
    </w:p>
    <w:p w14:paraId="15781342">
      <w:pPr>
        <w:pStyle w:val="13"/>
        <w:ind w:left="922" w:hanging="440" w:firstLineChars="0"/>
        <w:rPr>
          <w:b/>
          <w:bCs/>
          <w:highlight w:val="none"/>
        </w:rPr>
      </w:pPr>
      <w:r>
        <w:rPr>
          <w:rFonts w:hint="eastAsia"/>
          <w:b/>
          <w:bCs/>
          <w:highlight w:val="none"/>
        </w:rPr>
        <w:t>2.疾病审核知识库</w:t>
      </w:r>
    </w:p>
    <w:p w14:paraId="567A0DDC">
      <w:pPr>
        <w:widowControl w:val="0"/>
        <w:spacing w:after="0"/>
        <w:ind w:firstLine="480" w:firstLineChars="200"/>
        <w:jc w:val="both"/>
        <w:rPr>
          <w:rFonts w:ascii="Calibri" w:hAnsi="Calibri" w:eastAsia="宋体" w:cs="Times New Roman"/>
          <w:kern w:val="2"/>
          <w:sz w:val="24"/>
          <w:szCs w:val="28"/>
          <w:highlight w:val="none"/>
          <w:lang w:eastAsia="zh-CN" w:bidi="ar-SA"/>
        </w:rPr>
      </w:pPr>
      <w:r>
        <w:rPr>
          <w:rFonts w:hint="eastAsia" w:ascii="宋体" w:hAnsi="宋体" w:eastAsia="宋体" w:cs="Times New Roman"/>
          <w:kern w:val="2"/>
          <w:sz w:val="24"/>
          <w:szCs w:val="32"/>
          <w:highlight w:val="none"/>
          <w:lang w:eastAsia="zh-Hans" w:bidi="ar-SA"/>
        </w:rPr>
        <w:t>规则</w:t>
      </w:r>
      <w:r>
        <w:rPr>
          <w:rFonts w:hint="eastAsia" w:ascii="宋体" w:hAnsi="宋体" w:eastAsia="宋体" w:cs="Times New Roman"/>
          <w:kern w:val="2"/>
          <w:sz w:val="24"/>
          <w:szCs w:val="32"/>
          <w:highlight w:val="none"/>
          <w:lang w:eastAsia="zh-CN" w:bidi="ar-SA"/>
        </w:rPr>
        <w:t>应包括</w:t>
      </w:r>
      <w:r>
        <w:rPr>
          <w:rFonts w:ascii="宋体" w:hAnsi="宋体" w:eastAsia="宋体" w:cs="Times New Roman"/>
          <w:kern w:val="2"/>
          <w:sz w:val="24"/>
          <w:szCs w:val="32"/>
          <w:highlight w:val="none"/>
          <w:lang w:eastAsia="zh-Hans" w:bidi="ar-SA"/>
        </w:rPr>
        <w:t>：</w:t>
      </w:r>
    </w:p>
    <w:p w14:paraId="136A3D4B">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5)</w:t>
      </w:r>
      <w:r>
        <w:rPr>
          <w:rFonts w:hint="eastAsia" w:ascii="宋体" w:hAnsi="宋体" w:eastAsia="宋体" w:cs="Times New Roman"/>
          <w:kern w:val="2"/>
          <w:sz w:val="24"/>
          <w:szCs w:val="24"/>
          <w:highlight w:val="none"/>
          <w:lang w:eastAsia="zh-Hans" w:bidi="ar-SA"/>
        </w:rPr>
        <w:t>限定生育支付疾病</w:t>
      </w:r>
    </w:p>
    <w:p w14:paraId="3ABAD180">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6)</w:t>
      </w:r>
      <w:r>
        <w:rPr>
          <w:rFonts w:hint="eastAsia" w:ascii="宋体" w:hAnsi="宋体" w:eastAsia="宋体" w:cs="Times New Roman"/>
          <w:kern w:val="2"/>
          <w:sz w:val="24"/>
          <w:szCs w:val="24"/>
          <w:highlight w:val="none"/>
          <w:lang w:eastAsia="zh-Hans" w:bidi="ar-SA"/>
        </w:rPr>
        <w:t>限定医保支付疾病</w:t>
      </w:r>
    </w:p>
    <w:p w14:paraId="45201806">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7)</w:t>
      </w:r>
      <w:r>
        <w:rPr>
          <w:rFonts w:hint="eastAsia" w:ascii="宋体" w:hAnsi="宋体" w:eastAsia="宋体" w:cs="Times New Roman"/>
          <w:kern w:val="2"/>
          <w:sz w:val="24"/>
          <w:szCs w:val="24"/>
          <w:highlight w:val="none"/>
          <w:lang w:eastAsia="zh-Hans" w:bidi="ar-SA"/>
        </w:rPr>
        <w:t>诊断不合理（性别）</w:t>
      </w:r>
    </w:p>
    <w:p w14:paraId="6FD6958F">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8)</w:t>
      </w:r>
      <w:r>
        <w:rPr>
          <w:rFonts w:hint="eastAsia" w:ascii="宋体" w:hAnsi="宋体" w:eastAsia="宋体" w:cs="Times New Roman"/>
          <w:kern w:val="2"/>
          <w:sz w:val="24"/>
          <w:szCs w:val="24"/>
          <w:highlight w:val="none"/>
          <w:lang w:eastAsia="zh-Hans" w:bidi="ar-SA"/>
        </w:rPr>
        <w:t>诊断不合理（年龄）</w:t>
      </w:r>
    </w:p>
    <w:p w14:paraId="27E7EA1D">
      <w:pPr>
        <w:pStyle w:val="13"/>
        <w:ind w:left="922" w:hanging="440" w:firstLineChars="0"/>
        <w:rPr>
          <w:b/>
          <w:bCs/>
          <w:highlight w:val="none"/>
        </w:rPr>
      </w:pPr>
      <w:r>
        <w:rPr>
          <w:rFonts w:hint="eastAsia"/>
          <w:b/>
          <w:bCs/>
          <w:highlight w:val="none"/>
        </w:rPr>
        <w:t>3.诊疗审核知识库</w:t>
      </w:r>
    </w:p>
    <w:p w14:paraId="5089181E">
      <w:pPr>
        <w:widowControl w:val="0"/>
        <w:spacing w:after="0"/>
        <w:ind w:firstLine="480" w:firstLineChars="200"/>
        <w:jc w:val="both"/>
        <w:rPr>
          <w:rFonts w:ascii="宋体" w:hAnsi="宋体" w:eastAsia="宋体" w:cs="Times New Roman"/>
          <w:kern w:val="2"/>
          <w:sz w:val="24"/>
          <w:szCs w:val="32"/>
          <w:highlight w:val="none"/>
          <w:lang w:eastAsia="zh-Hans" w:bidi="ar-SA"/>
        </w:rPr>
      </w:pPr>
      <w:r>
        <w:rPr>
          <w:rFonts w:hint="eastAsia" w:ascii="宋体" w:hAnsi="宋体" w:eastAsia="宋体" w:cs="Times New Roman"/>
          <w:kern w:val="2"/>
          <w:sz w:val="24"/>
          <w:szCs w:val="32"/>
          <w:highlight w:val="none"/>
          <w:lang w:eastAsia="zh-Hans" w:bidi="ar-SA"/>
        </w:rPr>
        <w:t>规则</w:t>
      </w:r>
      <w:r>
        <w:rPr>
          <w:rFonts w:hint="eastAsia" w:ascii="宋体" w:hAnsi="宋体" w:eastAsia="宋体" w:cs="Times New Roman"/>
          <w:kern w:val="2"/>
          <w:sz w:val="24"/>
          <w:szCs w:val="32"/>
          <w:highlight w:val="none"/>
          <w:lang w:eastAsia="zh-CN" w:bidi="ar-SA"/>
        </w:rPr>
        <w:t>应包括</w:t>
      </w:r>
      <w:r>
        <w:rPr>
          <w:rFonts w:ascii="宋体" w:hAnsi="宋体" w:eastAsia="宋体" w:cs="Times New Roman"/>
          <w:kern w:val="2"/>
          <w:sz w:val="24"/>
          <w:szCs w:val="32"/>
          <w:highlight w:val="none"/>
          <w:lang w:eastAsia="zh-Hans" w:bidi="ar-SA"/>
        </w:rPr>
        <w:t>：</w:t>
      </w:r>
    </w:p>
    <w:p w14:paraId="48D65E6F">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9)</w:t>
      </w:r>
      <w:r>
        <w:rPr>
          <w:rFonts w:hint="eastAsia" w:ascii="宋体" w:hAnsi="宋体" w:eastAsia="宋体" w:cs="Times New Roman"/>
          <w:kern w:val="2"/>
          <w:sz w:val="24"/>
          <w:szCs w:val="24"/>
          <w:highlight w:val="none"/>
          <w:lang w:eastAsia="zh-Hans" w:bidi="ar-SA"/>
        </w:rPr>
        <w:t>重复收费</w:t>
      </w:r>
    </w:p>
    <w:p w14:paraId="4E2B50FB">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10)</w:t>
      </w:r>
      <w:r>
        <w:rPr>
          <w:rFonts w:hint="eastAsia" w:ascii="宋体" w:hAnsi="宋体" w:eastAsia="宋体" w:cs="Times New Roman"/>
          <w:kern w:val="2"/>
          <w:sz w:val="24"/>
          <w:szCs w:val="24"/>
          <w:highlight w:val="none"/>
          <w:lang w:eastAsia="zh-Hans" w:bidi="ar-SA"/>
        </w:rPr>
        <w:t>限年龄使用</w:t>
      </w:r>
    </w:p>
    <w:p w14:paraId="5DF73AB5">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11)</w:t>
      </w:r>
      <w:r>
        <w:rPr>
          <w:rFonts w:hint="eastAsia" w:ascii="宋体" w:hAnsi="宋体" w:eastAsia="宋体" w:cs="Times New Roman"/>
          <w:kern w:val="2"/>
          <w:sz w:val="24"/>
          <w:szCs w:val="24"/>
          <w:highlight w:val="none"/>
          <w:lang w:eastAsia="zh-Hans" w:bidi="ar-SA"/>
        </w:rPr>
        <w:t>限性别使用</w:t>
      </w:r>
    </w:p>
    <w:p w14:paraId="40CE62FF">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12)</w:t>
      </w:r>
      <w:r>
        <w:rPr>
          <w:rFonts w:hint="eastAsia" w:ascii="宋体" w:hAnsi="宋体" w:eastAsia="宋体" w:cs="Times New Roman"/>
          <w:kern w:val="2"/>
          <w:sz w:val="24"/>
          <w:szCs w:val="24"/>
          <w:highlight w:val="none"/>
          <w:lang w:eastAsia="zh-Hans" w:bidi="ar-SA"/>
        </w:rPr>
        <w:t>限待遇类型支付</w:t>
      </w:r>
    </w:p>
    <w:p w14:paraId="6FD0271D">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13)</w:t>
      </w:r>
      <w:r>
        <w:rPr>
          <w:rFonts w:hint="eastAsia" w:ascii="宋体" w:hAnsi="宋体" w:eastAsia="宋体" w:cs="Times New Roman"/>
          <w:kern w:val="2"/>
          <w:sz w:val="24"/>
          <w:szCs w:val="24"/>
          <w:highlight w:val="none"/>
          <w:lang w:eastAsia="zh-Hans" w:bidi="ar-SA"/>
        </w:rPr>
        <w:t>限定门诊使用</w:t>
      </w:r>
    </w:p>
    <w:p w14:paraId="3B2469FC">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14)</w:t>
      </w:r>
      <w:r>
        <w:rPr>
          <w:rFonts w:hint="eastAsia" w:ascii="宋体" w:hAnsi="宋体" w:eastAsia="宋体" w:cs="Times New Roman"/>
          <w:kern w:val="2"/>
          <w:sz w:val="24"/>
          <w:szCs w:val="24"/>
          <w:highlight w:val="none"/>
          <w:lang w:eastAsia="zh-Hans" w:bidi="ar-SA"/>
        </w:rPr>
        <w:t>限定住院使用</w:t>
      </w:r>
    </w:p>
    <w:p w14:paraId="55D92B47">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15)</w:t>
      </w:r>
      <w:r>
        <w:rPr>
          <w:rFonts w:hint="eastAsia" w:ascii="宋体" w:hAnsi="宋体" w:eastAsia="宋体" w:cs="Times New Roman"/>
          <w:kern w:val="2"/>
          <w:sz w:val="24"/>
          <w:szCs w:val="24"/>
          <w:highlight w:val="none"/>
          <w:lang w:eastAsia="zh-Hans" w:bidi="ar-SA"/>
        </w:rPr>
        <w:t>限单独使用</w:t>
      </w:r>
    </w:p>
    <w:p w14:paraId="49F635EC">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16)</w:t>
      </w:r>
      <w:r>
        <w:rPr>
          <w:rFonts w:hint="eastAsia" w:ascii="宋体" w:hAnsi="宋体" w:eastAsia="宋体" w:cs="Times New Roman"/>
          <w:kern w:val="2"/>
          <w:sz w:val="24"/>
          <w:szCs w:val="24"/>
          <w:highlight w:val="none"/>
          <w:lang w:eastAsia="zh-Hans" w:bidi="ar-SA"/>
        </w:rPr>
        <w:t>超限定频次（住院天数）</w:t>
      </w:r>
    </w:p>
    <w:p w14:paraId="11A80AFA">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17)</w:t>
      </w:r>
      <w:r>
        <w:rPr>
          <w:rFonts w:hint="eastAsia" w:ascii="宋体" w:hAnsi="宋体" w:eastAsia="宋体" w:cs="Times New Roman"/>
          <w:kern w:val="2"/>
          <w:sz w:val="24"/>
          <w:szCs w:val="24"/>
          <w:highlight w:val="none"/>
          <w:lang w:eastAsia="zh-Hans" w:bidi="ar-SA"/>
        </w:rPr>
        <w:t>超限定频次（按日收费）</w:t>
      </w:r>
    </w:p>
    <w:p w14:paraId="18EF6217">
      <w:pPr>
        <w:widowControl w:val="0"/>
        <w:spacing w:after="0"/>
        <w:ind w:left="845" w:hanging="425"/>
        <w:jc w:val="both"/>
        <w:rPr>
          <w:rFonts w:ascii="宋体" w:hAnsi="宋体" w:eastAsia="宋体" w:cs="Times New Roman"/>
          <w:kern w:val="2"/>
          <w:sz w:val="24"/>
          <w:szCs w:val="24"/>
          <w:highlight w:val="none"/>
          <w:lang w:eastAsia="zh-Hans" w:bidi="ar-SA"/>
        </w:rPr>
      </w:pPr>
      <w:r>
        <w:rPr>
          <w:rFonts w:ascii="宋体" w:hAnsi="宋体" w:eastAsia="宋体" w:cs="Times New Roman"/>
          <w:kern w:val="2"/>
          <w:sz w:val="24"/>
          <w:szCs w:val="24"/>
          <w:highlight w:val="none"/>
          <w:lang w:eastAsia="zh-Hans" w:bidi="ar-SA"/>
        </w:rPr>
        <w:t>18)</w:t>
      </w:r>
      <w:r>
        <w:rPr>
          <w:rFonts w:hint="eastAsia" w:ascii="宋体" w:hAnsi="宋体" w:eastAsia="宋体" w:cs="Times New Roman"/>
          <w:kern w:val="2"/>
          <w:sz w:val="24"/>
          <w:szCs w:val="24"/>
          <w:highlight w:val="none"/>
          <w:lang w:eastAsia="zh-Hans" w:bidi="ar-SA"/>
        </w:rPr>
        <w:t>超限定频次（按小时收费）</w:t>
      </w:r>
    </w:p>
    <w:p w14:paraId="47B4CA9B">
      <w:pPr>
        <w:pStyle w:val="4"/>
        <w:numPr>
          <w:ilvl w:val="2"/>
          <w:numId w:val="0"/>
        </w:numPr>
        <w:rPr>
          <w:rFonts w:ascii="宋体" w:hAnsi="宋体" w:eastAsia="宋体" w:cs="宋体"/>
          <w:highlight w:val="none"/>
        </w:rPr>
      </w:pPr>
      <w:r>
        <w:rPr>
          <w:rFonts w:hint="eastAsia" w:ascii="宋体" w:hAnsi="宋体" w:eastAsia="宋体" w:cs="宋体"/>
          <w:szCs w:val="32"/>
          <w:highlight w:val="none"/>
        </w:rPr>
        <w:t>6.4.2</w:t>
      </w:r>
      <w:r>
        <w:rPr>
          <w:rFonts w:hint="eastAsia" w:ascii="宋体" w:hAnsi="宋体" w:eastAsia="宋体" w:cs="宋体"/>
          <w:highlight w:val="none"/>
        </w:rPr>
        <w:t>审核管理</w:t>
      </w:r>
    </w:p>
    <w:p w14:paraId="1A23EF56">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6.4.2.1规则设计器</w:t>
      </w:r>
    </w:p>
    <w:p w14:paraId="5FE81CB5">
      <w:pPr>
        <w:widowControl w:val="0"/>
        <w:snapToGrid w:val="0"/>
        <w:spacing w:after="0"/>
        <w:ind w:firstLine="480" w:firstLineChars="200"/>
        <w:jc w:val="both"/>
        <w:rPr>
          <w:rFonts w:ascii="宋体" w:hAnsi="宋体" w:eastAsia="宋体" w:cs="Times New Roman"/>
          <w:kern w:val="2"/>
          <w:sz w:val="24"/>
          <w:highlight w:val="none"/>
          <w:lang w:eastAsia="zh-CN" w:bidi="ar-SA"/>
        </w:rPr>
      </w:pPr>
      <w:r>
        <w:rPr>
          <w:rFonts w:hint="eastAsia" w:ascii="宋体" w:hAnsi="宋体" w:eastAsia="宋体" w:cs="Times New Roman"/>
          <w:kern w:val="2"/>
          <w:sz w:val="24"/>
          <w:highlight w:val="none"/>
          <w:lang w:eastAsia="zh-CN" w:bidi="ar-SA"/>
        </w:rPr>
        <w:t>为满足医保新政策中新规则以及医院实际需要设计的新规则，系统需基于</w:t>
      </w:r>
      <w:r>
        <w:rPr>
          <w:rFonts w:ascii="宋体" w:hAnsi="宋体" w:eastAsia="宋体" w:cs="Times New Roman"/>
          <w:kern w:val="2"/>
          <w:sz w:val="24"/>
          <w:highlight w:val="none"/>
          <w:lang w:eastAsia="zh-CN" w:bidi="ar-SA"/>
        </w:rPr>
        <w:t>DAG规范实现的可视化设计工具，创建规则设计器，该规则工具</w:t>
      </w:r>
      <w:r>
        <w:rPr>
          <w:rFonts w:hint="eastAsia" w:ascii="宋体" w:hAnsi="宋体" w:eastAsia="宋体" w:cs="Times New Roman"/>
          <w:kern w:val="2"/>
          <w:sz w:val="24"/>
          <w:highlight w:val="none"/>
          <w:lang w:eastAsia="zh-CN" w:bidi="ar-SA"/>
        </w:rPr>
        <w:t>设计器应满足：</w:t>
      </w:r>
    </w:p>
    <w:p w14:paraId="1FB3A514">
      <w:pPr>
        <w:widowControl w:val="0"/>
        <w:snapToGrid w:val="0"/>
        <w:spacing w:after="0"/>
        <w:ind w:firstLine="480" w:firstLineChars="200"/>
        <w:jc w:val="both"/>
        <w:rPr>
          <w:rFonts w:ascii="宋体" w:hAnsi="宋体" w:eastAsia="宋体" w:cs="Times New Roman"/>
          <w:kern w:val="2"/>
          <w:sz w:val="24"/>
          <w:highlight w:val="none"/>
          <w:lang w:eastAsia="zh-CN" w:bidi="ar-SA"/>
        </w:rPr>
      </w:pPr>
      <w:r>
        <w:rPr>
          <w:rFonts w:ascii="宋体" w:hAnsi="宋体" w:eastAsia="宋体" w:cs="Times New Roman"/>
          <w:kern w:val="2"/>
          <w:sz w:val="24"/>
          <w:highlight w:val="none"/>
          <w:lang w:eastAsia="zh-CN" w:bidi="ar-SA"/>
        </w:rPr>
        <w:t>1)</w:t>
      </w:r>
      <w:r>
        <w:rPr>
          <w:rFonts w:ascii="宋体" w:hAnsi="宋体" w:eastAsia="宋体" w:cs="Times New Roman"/>
          <w:kern w:val="2"/>
          <w:sz w:val="24"/>
          <w:highlight w:val="none"/>
          <w:lang w:eastAsia="zh-CN" w:bidi="ar-SA"/>
        </w:rPr>
        <w:tab/>
      </w:r>
      <w:bookmarkStart w:id="20" w:name="_Hlk174116131"/>
      <w:bookmarkStart w:id="21" w:name="_Hlk150884525"/>
      <w:r>
        <w:rPr>
          <w:rFonts w:hint="eastAsia" w:ascii="宋体" w:hAnsi="宋体" w:eastAsia="宋体" w:cs="Times New Roman"/>
          <w:kern w:val="2"/>
          <w:sz w:val="24"/>
          <w:highlight w:val="none"/>
          <w:lang w:eastAsia="zh-CN" w:bidi="ar-SA"/>
        </w:rPr>
        <w:t>可直接通过拖拉方式设置整条规则的逻辑流程，包括规则的起始、约束条件的先后顺序、约束条件的走向、规则的完成</w:t>
      </w:r>
      <w:bookmarkEnd w:id="20"/>
      <w:r>
        <w:rPr>
          <w:rFonts w:hint="eastAsia" w:ascii="宋体" w:hAnsi="宋体" w:eastAsia="宋体" w:cs="宋体"/>
          <w:sz w:val="24"/>
          <w:szCs w:val="24"/>
          <w:highlight w:val="none"/>
          <w:lang w:eastAsia="zh-CN"/>
        </w:rPr>
        <w:t>（要求提供现场系统演示）</w:t>
      </w:r>
      <w:r>
        <w:rPr>
          <w:rFonts w:hint="eastAsia" w:ascii="宋体" w:hAnsi="宋体" w:eastAsia="宋体" w:cs="Times New Roman"/>
          <w:kern w:val="2"/>
          <w:sz w:val="24"/>
          <w:highlight w:val="none"/>
          <w:lang w:eastAsia="zh-CN" w:bidi="ar-SA"/>
        </w:rPr>
        <w:t>；</w:t>
      </w:r>
    </w:p>
    <w:p w14:paraId="06969D65">
      <w:pPr>
        <w:widowControl w:val="0"/>
        <w:snapToGrid w:val="0"/>
        <w:spacing w:after="0"/>
        <w:ind w:firstLine="480" w:firstLineChars="200"/>
        <w:jc w:val="both"/>
        <w:rPr>
          <w:rFonts w:ascii="宋体" w:hAnsi="宋体" w:eastAsia="宋体" w:cs="Times New Roman"/>
          <w:kern w:val="2"/>
          <w:sz w:val="24"/>
          <w:highlight w:val="none"/>
          <w:lang w:eastAsia="zh-CN" w:bidi="ar-SA"/>
        </w:rPr>
      </w:pPr>
      <w:r>
        <w:rPr>
          <w:rFonts w:ascii="宋体" w:hAnsi="宋体" w:eastAsia="宋体" w:cs="Times New Roman"/>
          <w:kern w:val="2"/>
          <w:sz w:val="24"/>
          <w:highlight w:val="none"/>
          <w:lang w:eastAsia="zh-CN" w:bidi="ar-SA"/>
        </w:rPr>
        <w:t>2)</w:t>
      </w:r>
      <w:r>
        <w:rPr>
          <w:rFonts w:ascii="宋体" w:hAnsi="宋体" w:eastAsia="宋体" w:cs="Times New Roman"/>
          <w:kern w:val="2"/>
          <w:sz w:val="24"/>
          <w:highlight w:val="none"/>
          <w:lang w:eastAsia="zh-CN" w:bidi="ar-SA"/>
        </w:rPr>
        <w:tab/>
      </w:r>
      <w:r>
        <w:rPr>
          <w:rFonts w:hint="eastAsia" w:ascii="宋体" w:hAnsi="宋体" w:eastAsia="宋体" w:cs="Times New Roman"/>
          <w:kern w:val="2"/>
          <w:sz w:val="24"/>
          <w:highlight w:val="none"/>
          <w:lang w:eastAsia="zh-CN" w:bidi="ar-SA"/>
        </w:rPr>
        <w:t>▲支持通过自定义设置的方式，完成整条规则的名称、内容、预警信息、规则政策来源等关键信息的录入</w:t>
      </w:r>
      <w:r>
        <w:rPr>
          <w:rFonts w:hint="eastAsia" w:ascii="宋体" w:hAnsi="宋体" w:eastAsia="宋体" w:cs="宋体"/>
          <w:sz w:val="24"/>
          <w:szCs w:val="24"/>
          <w:highlight w:val="none"/>
          <w:lang w:eastAsia="zh-CN"/>
        </w:rPr>
        <w:t>（要求提供产品界面截图作为证明材料）</w:t>
      </w:r>
      <w:r>
        <w:rPr>
          <w:rFonts w:hint="eastAsia" w:ascii="宋体" w:hAnsi="宋体" w:eastAsia="宋体" w:cs="Times New Roman"/>
          <w:kern w:val="2"/>
          <w:sz w:val="24"/>
          <w:highlight w:val="none"/>
          <w:lang w:eastAsia="zh-CN" w:bidi="ar-SA"/>
        </w:rPr>
        <w:t>；</w:t>
      </w:r>
    </w:p>
    <w:p w14:paraId="4C9DA105">
      <w:pPr>
        <w:widowControl w:val="0"/>
        <w:snapToGrid w:val="0"/>
        <w:spacing w:after="0"/>
        <w:ind w:firstLine="480" w:firstLineChars="200"/>
        <w:jc w:val="both"/>
        <w:rPr>
          <w:rFonts w:ascii="宋体" w:hAnsi="宋体" w:eastAsia="宋体" w:cs="Times New Roman"/>
          <w:kern w:val="2"/>
          <w:sz w:val="24"/>
          <w:highlight w:val="none"/>
          <w:lang w:eastAsia="zh-CN" w:bidi="ar-SA"/>
        </w:rPr>
      </w:pPr>
      <w:r>
        <w:rPr>
          <w:rFonts w:ascii="宋体" w:hAnsi="宋体" w:eastAsia="宋体" w:cs="Times New Roman"/>
          <w:kern w:val="2"/>
          <w:sz w:val="24"/>
          <w:highlight w:val="none"/>
          <w:lang w:eastAsia="zh-CN" w:bidi="ar-SA"/>
        </w:rPr>
        <w:t>3)</w:t>
      </w:r>
      <w:r>
        <w:rPr>
          <w:rFonts w:ascii="宋体" w:hAnsi="宋体" w:eastAsia="宋体" w:cs="Times New Roman"/>
          <w:kern w:val="2"/>
          <w:sz w:val="24"/>
          <w:highlight w:val="none"/>
          <w:lang w:eastAsia="zh-CN" w:bidi="ar-SA"/>
        </w:rPr>
        <w:tab/>
      </w:r>
      <w:r>
        <w:rPr>
          <w:rFonts w:hint="eastAsia" w:ascii="宋体" w:hAnsi="宋体" w:eastAsia="宋体" w:cs="Times New Roman"/>
          <w:kern w:val="2"/>
          <w:sz w:val="24"/>
          <w:highlight w:val="none"/>
          <w:lang w:eastAsia="zh-CN" w:bidi="ar-SA"/>
        </w:rPr>
        <w:t>支持对各个约束条件直接进行可视化设置，如大于、等于、小于、不等于等；</w:t>
      </w:r>
    </w:p>
    <w:p w14:paraId="3D04088F">
      <w:pPr>
        <w:widowControl w:val="0"/>
        <w:snapToGrid w:val="0"/>
        <w:spacing w:after="0"/>
        <w:ind w:firstLine="480" w:firstLineChars="200"/>
        <w:jc w:val="both"/>
        <w:rPr>
          <w:rFonts w:ascii="宋体" w:hAnsi="宋体" w:eastAsia="宋体" w:cs="Times New Roman"/>
          <w:kern w:val="2"/>
          <w:sz w:val="24"/>
          <w:highlight w:val="none"/>
          <w:lang w:eastAsia="zh-CN" w:bidi="ar-SA"/>
        </w:rPr>
      </w:pPr>
      <w:r>
        <w:rPr>
          <w:rFonts w:ascii="宋体" w:hAnsi="宋体" w:eastAsia="宋体" w:cs="Times New Roman"/>
          <w:kern w:val="2"/>
          <w:sz w:val="24"/>
          <w:highlight w:val="none"/>
          <w:lang w:eastAsia="zh-CN" w:bidi="ar-SA"/>
        </w:rPr>
        <w:t>4)</w:t>
      </w:r>
      <w:r>
        <w:rPr>
          <w:rFonts w:ascii="宋体" w:hAnsi="宋体" w:eastAsia="宋体" w:cs="Times New Roman"/>
          <w:kern w:val="2"/>
          <w:sz w:val="24"/>
          <w:highlight w:val="none"/>
          <w:lang w:eastAsia="zh-CN" w:bidi="ar-SA"/>
        </w:rPr>
        <w:tab/>
      </w:r>
      <w:r>
        <w:rPr>
          <w:rFonts w:hint="eastAsia" w:ascii="宋体" w:hAnsi="宋体" w:eastAsia="宋体" w:cs="Times New Roman"/>
          <w:kern w:val="2"/>
          <w:sz w:val="24"/>
          <w:highlight w:val="none"/>
          <w:lang w:eastAsia="zh-CN" w:bidi="ar-SA"/>
        </w:rPr>
        <w:t>▲支持对整个规则的使用场景、审核方式、违规处理方法进行各项设置</w:t>
      </w:r>
      <w:bookmarkEnd w:id="21"/>
      <w:r>
        <w:rPr>
          <w:rFonts w:hint="eastAsia" w:ascii="宋体" w:hAnsi="宋体" w:eastAsia="宋体" w:cs="宋体"/>
          <w:sz w:val="24"/>
          <w:szCs w:val="24"/>
          <w:highlight w:val="none"/>
          <w:lang w:eastAsia="zh-CN"/>
        </w:rPr>
        <w:t>（要求提供产品界面截图作为证明材料）</w:t>
      </w:r>
      <w:r>
        <w:rPr>
          <w:rFonts w:hint="eastAsia" w:ascii="宋体" w:hAnsi="宋体" w:eastAsia="宋体" w:cs="Times New Roman"/>
          <w:kern w:val="2"/>
          <w:sz w:val="24"/>
          <w:highlight w:val="none"/>
          <w:lang w:eastAsia="zh-CN" w:bidi="ar-SA"/>
        </w:rPr>
        <w:t>。</w:t>
      </w:r>
    </w:p>
    <w:p w14:paraId="353CF075">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6.4.2.2审核规则管理</w:t>
      </w:r>
    </w:p>
    <w:p w14:paraId="6A80EBC6">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对智能审核规则库中的规则进行统一管理，要求：</w:t>
      </w:r>
    </w:p>
    <w:p w14:paraId="2B710CE4">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1）审核规则可按药品、疾病、医保和项目类别进行管理和调整。</w:t>
      </w:r>
    </w:p>
    <w:p w14:paraId="0E5E72B6">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2）药品规则管理</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包括展示药品规则信息、克隆和修改规则、设置规则级别。</w:t>
      </w:r>
    </w:p>
    <w:p w14:paraId="41121D19">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3）医疗服务项目规则管理</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包括展示项目规则信息、克隆和修改规则、设置规则级别。</w:t>
      </w:r>
    </w:p>
    <w:p w14:paraId="778CD28A">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4）疾病规则管理</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包括展示疾病规则信息、克隆和修改规则、设置规则级别。</w:t>
      </w:r>
    </w:p>
    <w:p w14:paraId="09829D24">
      <w:pPr>
        <w:widowControl w:val="0"/>
        <w:spacing w:after="0"/>
        <w:ind w:firstLine="442"/>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5）医保规则管理</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包括展示医保规则信息、克隆和修改规则、设置规则。</w:t>
      </w:r>
    </w:p>
    <w:p w14:paraId="23D5B10D">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6.4.2.3频次项目配置</w:t>
      </w:r>
    </w:p>
    <w:p w14:paraId="061B066F">
      <w:pPr>
        <w:widowControl w:val="0"/>
        <w:snapToGrid w:val="0"/>
        <w:spacing w:after="0"/>
        <w:ind w:firstLine="420"/>
        <w:jc w:val="both"/>
        <w:rPr>
          <w:rFonts w:ascii="Calibri" w:hAnsi="Calibri" w:eastAsia="宋体" w:cs="Times New Roman"/>
          <w:kern w:val="2"/>
          <w:sz w:val="24"/>
          <w:szCs w:val="24"/>
          <w:highlight w:val="none"/>
          <w:lang w:eastAsia="zh-CN" w:bidi="ar-SA"/>
        </w:rPr>
      </w:pPr>
      <w:r>
        <w:rPr>
          <w:rFonts w:hint="eastAsia" w:ascii="宋体" w:hAnsi="Calibri" w:eastAsia="宋体" w:cs="宋体"/>
          <w:kern w:val="2"/>
          <w:sz w:val="24"/>
          <w:szCs w:val="24"/>
          <w:highlight w:val="none"/>
          <w:lang w:eastAsia="zh-CN" w:bidi="ar-SA"/>
        </w:rPr>
        <w:t>需提供频次项目配置功能，要求：</w:t>
      </w:r>
    </w:p>
    <w:p w14:paraId="6315DD80">
      <w:pPr>
        <w:widowControl w:val="0"/>
        <w:snapToGrid w:val="0"/>
        <w:spacing w:after="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1</w:t>
      </w:r>
      <w:r>
        <w:rPr>
          <w:rFonts w:hint="eastAsia" w:ascii="宋体" w:hAnsi="宋体" w:eastAsia="宋体" w:cs="Times New Roman"/>
          <w:kern w:val="2"/>
          <w:sz w:val="24"/>
          <w:szCs w:val="24"/>
          <w:highlight w:val="none"/>
          <w:lang w:eastAsia="zh-CN" w:bidi="ar-SA"/>
        </w:rPr>
        <w:t>）</w:t>
      </w:r>
      <w:r>
        <w:rPr>
          <w:rFonts w:hint="eastAsia" w:ascii="宋体" w:hAnsi="宋体" w:eastAsia="宋体" w:cs="Times New Roman"/>
          <w:kern w:val="2"/>
          <w:sz w:val="24"/>
          <w:szCs w:val="24"/>
          <w:highlight w:val="none"/>
          <w:lang w:val="zh-CN" w:eastAsia="zh-CN" w:bidi="ar-SA"/>
        </w:rPr>
        <w:t>支持频次项目配置，包括审核类型、诊断编码、项目名称、计价单位和天数转换比等，用户可以自行进行配置并生效。</w:t>
      </w:r>
    </w:p>
    <w:p w14:paraId="749D1BC3">
      <w:pPr>
        <w:widowControl w:val="0"/>
        <w:snapToGrid w:val="0"/>
        <w:spacing w:after="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2）支持随时调整现有频次项目的启动状态。</w:t>
      </w:r>
    </w:p>
    <w:p w14:paraId="5508CE72">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6.4.2.4审核信息管理</w:t>
      </w:r>
    </w:p>
    <w:p w14:paraId="3ED131A0">
      <w:pPr>
        <w:widowControl w:val="0"/>
        <w:snapToGrid w:val="0"/>
        <w:spacing w:after="0"/>
        <w:ind w:firstLine="420"/>
        <w:jc w:val="both"/>
        <w:rPr>
          <w:rFonts w:ascii="Calibri" w:hAnsi="Calibri" w:eastAsia="宋体" w:cs="Times New Roman"/>
          <w:kern w:val="2"/>
          <w:sz w:val="24"/>
          <w:szCs w:val="24"/>
          <w:highlight w:val="none"/>
          <w:lang w:eastAsia="zh-CN" w:bidi="ar-SA"/>
        </w:rPr>
      </w:pPr>
      <w:r>
        <w:rPr>
          <w:rFonts w:hint="eastAsia" w:ascii="宋体" w:hAnsi="Calibri" w:eastAsia="宋体" w:cs="宋体"/>
          <w:kern w:val="2"/>
          <w:sz w:val="24"/>
          <w:szCs w:val="24"/>
          <w:highlight w:val="none"/>
          <w:lang w:eastAsia="zh-CN" w:bidi="ar-SA"/>
        </w:rPr>
        <w:t>需提供审核信息管理功能，要求：</w:t>
      </w:r>
    </w:p>
    <w:p w14:paraId="56BAB620">
      <w:pPr>
        <w:widowControl w:val="0"/>
        <w:snapToGrid w:val="0"/>
        <w:spacing w:after="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1.支持工作人员对各个场景下的智能审核启动级别进行设置和统一管理。</w:t>
      </w:r>
    </w:p>
    <w:p w14:paraId="3C70A4B6">
      <w:pPr>
        <w:widowControl w:val="0"/>
        <w:snapToGrid w:val="0"/>
        <w:spacing w:after="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2.审核规则</w:t>
      </w:r>
      <w:r>
        <w:rPr>
          <w:rFonts w:hint="eastAsia" w:ascii="宋体" w:hAnsi="宋体" w:eastAsia="宋体" w:cs="Times New Roman"/>
          <w:kern w:val="2"/>
          <w:sz w:val="24"/>
          <w:szCs w:val="24"/>
          <w:highlight w:val="none"/>
          <w:lang w:eastAsia="zh-CN" w:bidi="ar-SA"/>
        </w:rPr>
        <w:t>应</w:t>
      </w:r>
      <w:r>
        <w:rPr>
          <w:rFonts w:hint="eastAsia" w:ascii="宋体" w:hAnsi="宋体" w:eastAsia="宋体" w:cs="Times New Roman"/>
          <w:kern w:val="2"/>
          <w:sz w:val="24"/>
          <w:szCs w:val="24"/>
          <w:highlight w:val="none"/>
          <w:lang w:val="zh-CN" w:eastAsia="zh-CN" w:bidi="ar-SA"/>
        </w:rPr>
        <w:t>可以配置科室豁免审核。</w:t>
      </w:r>
    </w:p>
    <w:p w14:paraId="4D043BBE">
      <w:pPr>
        <w:widowControl w:val="0"/>
        <w:snapToGrid w:val="0"/>
        <w:spacing w:after="0"/>
        <w:ind w:firstLine="440"/>
        <w:jc w:val="both"/>
        <w:rPr>
          <w:rFonts w:ascii="宋体" w:hAnsi="宋体" w:eastAsia="宋体" w:cs="Times New Roman"/>
          <w:kern w:val="2"/>
          <w:sz w:val="24"/>
          <w:szCs w:val="24"/>
          <w:highlight w:val="none"/>
          <w:lang w:val="zh-CN" w:eastAsia="zh-CN" w:bidi="ar-SA"/>
        </w:rPr>
      </w:pPr>
      <w:r>
        <w:rPr>
          <w:rFonts w:hint="eastAsia" w:ascii="宋体" w:hAnsi="宋体" w:eastAsia="宋体" w:cs="Times New Roman"/>
          <w:kern w:val="2"/>
          <w:sz w:val="24"/>
          <w:szCs w:val="24"/>
          <w:highlight w:val="none"/>
          <w:lang w:val="zh-CN" w:eastAsia="zh-CN" w:bidi="ar-SA"/>
        </w:rPr>
        <w:t>3.审核信息管理</w:t>
      </w:r>
      <w:r>
        <w:rPr>
          <w:rFonts w:hint="eastAsia" w:ascii="宋体" w:hAnsi="宋体" w:eastAsia="宋体" w:cs="Times New Roman"/>
          <w:kern w:val="2"/>
          <w:sz w:val="24"/>
          <w:szCs w:val="24"/>
          <w:highlight w:val="none"/>
          <w:lang w:eastAsia="zh-CN" w:bidi="ar-SA"/>
        </w:rPr>
        <w:t>需</w:t>
      </w:r>
      <w:r>
        <w:rPr>
          <w:rFonts w:hint="eastAsia" w:ascii="宋体" w:hAnsi="宋体" w:eastAsia="宋体" w:cs="Times New Roman"/>
          <w:kern w:val="2"/>
          <w:sz w:val="24"/>
          <w:szCs w:val="24"/>
          <w:highlight w:val="none"/>
          <w:lang w:val="zh-CN" w:eastAsia="zh-CN" w:bidi="ar-SA"/>
        </w:rPr>
        <w:t>包括科室配置、设置启动级别和统一管理审核信息。</w:t>
      </w:r>
    </w:p>
    <w:p w14:paraId="521EF824">
      <w:pPr>
        <w:pStyle w:val="4"/>
        <w:numPr>
          <w:ilvl w:val="2"/>
          <w:numId w:val="0"/>
        </w:numPr>
        <w:rPr>
          <w:rFonts w:ascii="宋体" w:hAnsi="宋体" w:eastAsia="宋体" w:cs="宋体"/>
          <w:highlight w:val="none"/>
        </w:rPr>
      </w:pPr>
      <w:r>
        <w:rPr>
          <w:rFonts w:hint="eastAsia" w:ascii="宋体" w:hAnsi="宋体" w:eastAsia="宋体" w:cs="宋体"/>
          <w:szCs w:val="32"/>
          <w:highlight w:val="none"/>
        </w:rPr>
        <w:t>6.4.3</w:t>
      </w:r>
      <w:r>
        <w:rPr>
          <w:rFonts w:hint="eastAsia" w:ascii="宋体" w:hAnsi="宋体" w:eastAsia="宋体" w:cs="宋体"/>
          <w:highlight w:val="none"/>
        </w:rPr>
        <w:t>事前实时智能审核与监控</w:t>
      </w:r>
    </w:p>
    <w:p w14:paraId="2A040552">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6.4.3.1重复入院审核</w:t>
      </w:r>
    </w:p>
    <w:p w14:paraId="550A6971">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1.系统通过与医院业务系统对接，需实现对诊疗信息的实时审核。</w:t>
      </w:r>
    </w:p>
    <w:p w14:paraId="541C9BA4">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2.系统对接医生工作站，对违规情况进行实时提示、预警和拦截，需提供违规说明、修改建议和规则依据。</w:t>
      </w:r>
    </w:p>
    <w:p w14:paraId="1865CF81">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3.需支持门诊医生工作站处方的实时审核和入院场景的疑似重复入院审核。</w:t>
      </w:r>
    </w:p>
    <w:p w14:paraId="1C842AE4">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6.4.3.2门诊处方审核</w:t>
      </w:r>
    </w:p>
    <w:p w14:paraId="3A9E27E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1.需支持住院医生工作站的医嘱实时审核。</w:t>
      </w:r>
    </w:p>
    <w:p w14:paraId="0892672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2.需支持工作人员填写违规反馈原因。</w:t>
      </w:r>
    </w:p>
    <w:p w14:paraId="00BF6640">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6.4.3.3住院医嘱审核</w:t>
      </w:r>
    </w:p>
    <w:p w14:paraId="0C98888F">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1.需支持住院医生工作站的医嘱实时审核。</w:t>
      </w:r>
    </w:p>
    <w:p w14:paraId="74CAF49A">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2.系统需支持工作人员填写违规反馈原因。</w:t>
      </w:r>
    </w:p>
    <w:p w14:paraId="465A22D0">
      <w:pPr>
        <w:pStyle w:val="4"/>
        <w:numPr>
          <w:ilvl w:val="2"/>
          <w:numId w:val="0"/>
        </w:numPr>
        <w:rPr>
          <w:rFonts w:ascii="宋体" w:hAnsi="Arial" w:eastAsia="宋体" w:cs="宋体"/>
          <w:color w:val="000000"/>
          <w:kern w:val="2"/>
          <w:sz w:val="24"/>
          <w:szCs w:val="28"/>
          <w:highlight w:val="none"/>
          <w:lang w:val="zh-CN" w:bidi="ar-SA"/>
        </w:rPr>
      </w:pPr>
      <w:r>
        <w:rPr>
          <w:rFonts w:hint="eastAsia" w:ascii="宋体" w:hAnsi="Arial" w:eastAsia="宋体" w:cs="宋体"/>
          <w:color w:val="000000"/>
          <w:kern w:val="2"/>
          <w:szCs w:val="32"/>
          <w:highlight w:val="none"/>
          <w:lang w:val="zh-CN" w:bidi="ar-SA"/>
        </w:rPr>
        <w:t>6.4.4</w:t>
      </w:r>
      <w:r>
        <w:rPr>
          <w:rFonts w:hint="eastAsia" w:ascii="宋体" w:hAnsi="宋体" w:eastAsia="宋体" w:cs="宋体"/>
          <w:highlight w:val="none"/>
        </w:rPr>
        <w:t>事中实时智能审核与监控</w:t>
      </w:r>
    </w:p>
    <w:p w14:paraId="25358F84">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1.系统通过与医院业务系统对接，需实现对收费信息的实时审核。</w:t>
      </w:r>
    </w:p>
    <w:p w14:paraId="183DE5AB">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2.系统对接护士工作站，对违规情况进行实时提示）预警和拦截，需提供违规说明）修改建议和规则依据。</w:t>
      </w:r>
    </w:p>
    <w:p w14:paraId="4768BB9B">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3.需支持护士工作站对患者预出院前的整体审核。</w:t>
      </w:r>
    </w:p>
    <w:p w14:paraId="69287347">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4.系统需提供审核预警信息集成，方便医保科对临床违规情况进行统一监控，查看违规记录和对应收费明细。</w:t>
      </w:r>
    </w:p>
    <w:p w14:paraId="5EABDA2A">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5.系统定期自动抽取和更新在院患者的诊疗费用信息，并进行智能审核，将审核预警的在院患者诊疗信息展示给工作人员。</w:t>
      </w:r>
    </w:p>
    <w:p w14:paraId="351362A1">
      <w:pPr>
        <w:pStyle w:val="4"/>
        <w:numPr>
          <w:ilvl w:val="2"/>
          <w:numId w:val="0"/>
        </w:numPr>
        <w:rPr>
          <w:rFonts w:ascii="宋体" w:hAnsi="宋体" w:eastAsia="宋体" w:cs="宋体"/>
          <w:highlight w:val="none"/>
        </w:rPr>
      </w:pPr>
      <w:r>
        <w:rPr>
          <w:rFonts w:hint="eastAsia" w:ascii="宋体" w:hAnsi="宋体" w:eastAsia="宋体" w:cs="宋体"/>
          <w:szCs w:val="32"/>
          <w:highlight w:val="none"/>
        </w:rPr>
        <w:t>6.4.5</w:t>
      </w:r>
      <w:r>
        <w:rPr>
          <w:rFonts w:hint="eastAsia" w:ascii="宋体" w:hAnsi="宋体" w:eastAsia="宋体" w:cs="宋体"/>
          <w:highlight w:val="none"/>
        </w:rPr>
        <w:t>事后违规审核</w:t>
      </w:r>
    </w:p>
    <w:p w14:paraId="00E51EA9">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6.4.5.1门诊费用审核</w:t>
      </w:r>
    </w:p>
    <w:p w14:paraId="6E698A50">
      <w:pPr>
        <w:widowControl w:val="0"/>
        <w:snapToGrid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系统需每天收集门诊和出院患者的诊疗费用信息，对其进行事后审核，并将审核未通过的信息集成展示，方便工作人员进行查看和处理。系统需支持自动抽取和新增门诊和出院费用信息，并对其进行智能审核。工作人员能够清楚了解审核预警的诊疗信息，包括患者的基本信息）就诊流水号）项目名称等，并能够了解提示的具体内容和类型，提高违规审核的效率和准确性。</w:t>
      </w:r>
    </w:p>
    <w:p w14:paraId="766A464F">
      <w:pPr>
        <w:widowControl w:val="0"/>
        <w:snapToGrid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1.系统需定期收集全院门诊患者的诊疗费用信息，并以列表的方式展示。</w:t>
      </w:r>
    </w:p>
    <w:p w14:paraId="5DCF46CB">
      <w:pPr>
        <w:widowControl w:val="0"/>
        <w:snapToGrid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2.需对门诊费用信息进行事后审核，通过智能审核规则引擎判断是否存在违规情况。</w:t>
      </w:r>
    </w:p>
    <w:p w14:paraId="5602162E">
      <w:pPr>
        <w:widowControl w:val="0"/>
        <w:snapToGrid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3.展示所有审核预警的门诊诊疗信息，需包括就诊流水号）姓名）门诊号）记账时间）项目名称）提示类型和内容。</w:t>
      </w:r>
    </w:p>
    <w:p w14:paraId="0FF070D1">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6.4.5.2门诊审核结果</w:t>
      </w:r>
    </w:p>
    <w:p w14:paraId="736025DB">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1.系统自动对门诊费用审核进行处理，将诊疗信息与智能审核规则引擎进行对比。</w:t>
      </w:r>
    </w:p>
    <w:p w14:paraId="590F15B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2.对所有审核预警的门诊诊疗信息进行集成展示，让工作人员方便查看和处理。</w:t>
      </w:r>
    </w:p>
    <w:p w14:paraId="753A141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3.展示的关键信息包括就诊流水号）姓名）门诊号）记账时间）项目名称）提示类型和内容。</w:t>
      </w:r>
    </w:p>
    <w:p w14:paraId="6CBDC5A8">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6.4.5.3出院费用审核</w:t>
      </w:r>
    </w:p>
    <w:p w14:paraId="09D736DE">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1.系统定期收集全院出院患者的诊疗费用信息，并以列表的方式进行展示。</w:t>
      </w:r>
    </w:p>
    <w:p w14:paraId="0CF83AF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2.对出院费用信息进行事后审核，通过智能审核规则引擎进行违规判断。</w:t>
      </w:r>
    </w:p>
    <w:p w14:paraId="7FEBCAD8">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3.展示所有审核预警的出院诊疗信息，包括就诊流水号）姓名）住院号）记账时间）项目名称）提示类型和内容。</w:t>
      </w:r>
    </w:p>
    <w:p w14:paraId="6B6C5923">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6.4.5.4出院审核结果</w:t>
      </w:r>
    </w:p>
    <w:p w14:paraId="277B8E4E">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1.系统对出院费用审核结果进行处理和展示，与智能审核规则引擎进行对比分析。</w:t>
      </w:r>
    </w:p>
    <w:p w14:paraId="6660BE8D">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2.需提供所有审核预警的出院诊疗信息供工作人员查看和处理。</w:t>
      </w:r>
    </w:p>
    <w:p w14:paraId="2EFD4071">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3.展示的关键信息包括就诊流水号）姓名）住院号）记账时间）项目名称）提示类型和内容。</w:t>
      </w:r>
    </w:p>
    <w:p w14:paraId="7481F1D4">
      <w:pPr>
        <w:pStyle w:val="4"/>
        <w:numPr>
          <w:ilvl w:val="2"/>
          <w:numId w:val="0"/>
        </w:numPr>
        <w:rPr>
          <w:rFonts w:ascii="宋体" w:hAnsi="宋体" w:eastAsia="宋体" w:cs="宋体"/>
          <w:highlight w:val="none"/>
        </w:rPr>
      </w:pPr>
      <w:r>
        <w:rPr>
          <w:rFonts w:hint="eastAsia" w:ascii="宋体" w:hAnsi="宋体" w:eastAsia="宋体" w:cs="宋体"/>
          <w:szCs w:val="32"/>
          <w:highlight w:val="none"/>
        </w:rPr>
        <w:t>6.4.6</w:t>
      </w:r>
      <w:r>
        <w:rPr>
          <w:rFonts w:hint="eastAsia" w:ascii="宋体" w:hAnsi="宋体" w:eastAsia="宋体" w:cs="宋体"/>
          <w:highlight w:val="none"/>
        </w:rPr>
        <w:t>全院违规监控首页</w:t>
      </w:r>
    </w:p>
    <w:p w14:paraId="41A3D2DE">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6.4.6.1全院违规监控总览</w:t>
      </w:r>
    </w:p>
    <w:p w14:paraId="69CF3734">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对全院智能审核发现的违规行为进行整理，面向院管理层展示，展示内容应包括：</w:t>
      </w:r>
    </w:p>
    <w:p w14:paraId="63A39C18">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w:t>
      </w:r>
      <w:r>
        <w:rPr>
          <w:rFonts w:ascii="宋体" w:hAnsi="宋体" w:eastAsia="宋体" w:cs="Times New Roman"/>
          <w:kern w:val="2"/>
          <w:sz w:val="24"/>
          <w:szCs w:val="24"/>
          <w:highlight w:val="none"/>
          <w:lang w:eastAsia="zh-CN" w:bidi="ar-SA"/>
        </w:rPr>
        <w:t xml:space="preserve">. </w:t>
      </w:r>
      <w:r>
        <w:rPr>
          <w:rFonts w:hint="eastAsia" w:ascii="宋体" w:hAnsi="宋体" w:eastAsia="宋体" w:cs="Times New Roman"/>
          <w:kern w:val="2"/>
          <w:sz w:val="24"/>
          <w:szCs w:val="24"/>
          <w:highlight w:val="none"/>
          <w:lang w:eastAsia="zh-CN" w:bidi="ar-SA"/>
        </w:rPr>
        <w:t>对规则进行统计，展示整个系统内置的所有审核规则数量，并按照医保、药品、诊断和诊疗项目，分别对不同类别规则数量进行统计，且支持通过下钻方式查看每一类包含的具体规则；</w:t>
      </w:r>
    </w:p>
    <w:p w14:paraId="7C8D8985">
      <w:pPr>
        <w:widowControl w:val="0"/>
        <w:spacing w:after="0"/>
        <w:ind w:firstLine="442"/>
        <w:jc w:val="both"/>
        <w:rPr>
          <w:rFonts w:ascii="宋体" w:hAnsi="宋体" w:eastAsia="宋体" w:cs="Times New Roman"/>
          <w:kern w:val="2"/>
          <w:sz w:val="24"/>
          <w:szCs w:val="24"/>
          <w:highlight w:val="none"/>
          <w:lang w:eastAsia="zh-CN" w:bidi="ar-SA"/>
        </w:rPr>
      </w:pPr>
      <w:r>
        <w:rPr>
          <w:rFonts w:ascii="宋体" w:hAnsi="宋体" w:eastAsia="宋体" w:cs="Times New Roman"/>
          <w:kern w:val="2"/>
          <w:sz w:val="24"/>
          <w:szCs w:val="24"/>
          <w:highlight w:val="none"/>
          <w:lang w:eastAsia="zh-CN" w:bidi="ar-SA"/>
        </w:rPr>
        <w:t xml:space="preserve">2. </w:t>
      </w:r>
      <w:r>
        <w:rPr>
          <w:rFonts w:hint="eastAsia" w:ascii="宋体" w:hAnsi="宋体" w:eastAsia="宋体" w:cs="Times New Roman"/>
          <w:kern w:val="2"/>
          <w:sz w:val="24"/>
          <w:szCs w:val="24"/>
          <w:highlight w:val="none"/>
          <w:lang w:eastAsia="zh-CN" w:bidi="ar-SA"/>
        </w:rPr>
        <w:t>针对不同的类型规则，对全院违规行为进行统计分析，展示提醒人次和修改人次数量；</w:t>
      </w:r>
    </w:p>
    <w:p w14:paraId="137E4CCC">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3</w:t>
      </w:r>
      <w:r>
        <w:rPr>
          <w:rFonts w:ascii="宋体" w:hAnsi="宋体" w:eastAsia="宋体" w:cs="Times New Roman"/>
          <w:kern w:val="2"/>
          <w:sz w:val="24"/>
          <w:szCs w:val="24"/>
          <w:highlight w:val="none"/>
          <w:lang w:eastAsia="zh-CN" w:bidi="ar-SA"/>
        </w:rPr>
        <w:t>.</w:t>
      </w:r>
      <w:bookmarkStart w:id="22" w:name="_Hlk174116361"/>
      <w:r>
        <w:rPr>
          <w:rFonts w:hint="eastAsia" w:ascii="宋体" w:hAnsi="宋体" w:eastAsia="宋体" w:cs="Times New Roman"/>
          <w:kern w:val="2"/>
          <w:sz w:val="24"/>
          <w:szCs w:val="24"/>
          <w:highlight w:val="none"/>
          <w:lang w:eastAsia="zh-CN" w:bidi="ar-SA"/>
        </w:rPr>
        <w:t>支持对违规项目的总览，展示项目的提醒人数和修改人数，对重点项目的拦截率进行统计展示，如项目依存-拦截率、限性别使用-拦截率等</w:t>
      </w:r>
      <w:bookmarkEnd w:id="22"/>
      <w:r>
        <w:rPr>
          <w:rFonts w:hint="eastAsia" w:ascii="宋体" w:hAnsi="宋体" w:eastAsia="宋体" w:cs="宋体"/>
          <w:sz w:val="24"/>
          <w:szCs w:val="24"/>
          <w:highlight w:val="none"/>
          <w:lang w:eastAsia="zh-CN"/>
        </w:rPr>
        <w:t>（要求提供现场系统演示）</w:t>
      </w:r>
      <w:r>
        <w:rPr>
          <w:rFonts w:hint="eastAsia" w:ascii="宋体" w:hAnsi="宋体" w:eastAsia="宋体" w:cs="Times New Roman"/>
          <w:kern w:val="2"/>
          <w:sz w:val="24"/>
          <w:szCs w:val="24"/>
          <w:highlight w:val="none"/>
          <w:lang w:eastAsia="zh-CN" w:bidi="ar-SA"/>
        </w:rPr>
        <w:t>；</w:t>
      </w:r>
    </w:p>
    <w:p w14:paraId="345E6D1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4</w:t>
      </w:r>
      <w:r>
        <w:rPr>
          <w:rFonts w:ascii="宋体" w:hAnsi="宋体" w:eastAsia="宋体" w:cs="Times New Roman"/>
          <w:kern w:val="2"/>
          <w:sz w:val="24"/>
          <w:szCs w:val="24"/>
          <w:highlight w:val="none"/>
          <w:lang w:eastAsia="zh-CN" w:bidi="ar-SA"/>
        </w:rPr>
        <w:t>.</w:t>
      </w:r>
      <w:r>
        <w:rPr>
          <w:rFonts w:hint="eastAsia" w:ascii="宋体" w:hAnsi="宋体" w:eastAsia="宋体" w:cs="Times New Roman"/>
          <w:kern w:val="2"/>
          <w:sz w:val="24"/>
          <w:szCs w:val="24"/>
          <w:highlight w:val="none"/>
          <w:lang w:eastAsia="zh-CN" w:bidi="ar-SA"/>
        </w:rPr>
        <w:t>展示违规行为的各项排名分析，包括违规项目提醒排名、规则提醒科室排名、科室违规人次排名、科室违规人次排名；</w:t>
      </w:r>
    </w:p>
    <w:p w14:paraId="7AC8CA2C">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5</w:t>
      </w:r>
      <w:r>
        <w:rPr>
          <w:rFonts w:ascii="宋体" w:hAnsi="宋体" w:eastAsia="宋体" w:cs="Times New Roman"/>
          <w:kern w:val="2"/>
          <w:sz w:val="24"/>
          <w:szCs w:val="24"/>
          <w:highlight w:val="none"/>
          <w:lang w:eastAsia="zh-CN" w:bidi="ar-SA"/>
        </w:rPr>
        <w:t>.</w:t>
      </w:r>
      <w:r>
        <w:rPr>
          <w:rFonts w:hint="eastAsia" w:ascii="宋体" w:hAnsi="宋体" w:eastAsia="宋体" w:cs="Times New Roman"/>
          <w:kern w:val="2"/>
          <w:sz w:val="24"/>
          <w:szCs w:val="24"/>
          <w:highlight w:val="none"/>
          <w:lang w:eastAsia="zh-CN" w:bidi="ar-SA"/>
        </w:rPr>
        <w:t>规则违规进行各项统计结果展示，包括规则类型违规、规则级别违规、开立科室违规。</w:t>
      </w:r>
    </w:p>
    <w:p w14:paraId="0BF064E5">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6.4.6.2门诊审核汇总</w:t>
      </w:r>
    </w:p>
    <w:p w14:paraId="7F7F3C10">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按照不同的维度，实现对门诊审核数据进行统计和分析，具体包括：</w:t>
      </w:r>
    </w:p>
    <w:p w14:paraId="5DC3F16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 需支持统计每个用户在一段时间内的门诊审核次数，帮助了解系统的使用频率和工作量。</w:t>
      </w:r>
    </w:p>
    <w:p w14:paraId="1D0D9682">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 可以按照不同的维度，如审核类型或审核项目，对门诊审核次数进行分组，以便进行更细致的数据分析和比较。</w:t>
      </w:r>
    </w:p>
    <w:p w14:paraId="129CAA3B">
      <w:pPr>
        <w:pStyle w:val="5"/>
        <w:numPr>
          <w:ilvl w:val="3"/>
          <w:numId w:val="0"/>
        </w:numPr>
        <w:rPr>
          <w:rFonts w:asciiTheme="majorEastAsia" w:hAnsiTheme="majorEastAsia"/>
          <w:sz w:val="24"/>
          <w:szCs w:val="21"/>
          <w:highlight w:val="none"/>
        </w:rPr>
      </w:pPr>
      <w:r>
        <w:rPr>
          <w:rFonts w:hint="eastAsia" w:asciiTheme="majorEastAsia" w:hAnsiTheme="majorEastAsia"/>
          <w:sz w:val="24"/>
          <w:szCs w:val="21"/>
          <w:highlight w:val="none"/>
        </w:rPr>
        <w:t>6.4.6.3住院审核汇总</w:t>
      </w:r>
    </w:p>
    <w:p w14:paraId="24F477BA">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系统需提供住院审核数据的汇总统计分析功能，要求：</w:t>
      </w:r>
    </w:p>
    <w:p w14:paraId="4748263F">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 能够统计每个用户在一段时间内的住院审核次数，让用户了解系统的使用情况和工作量。</w:t>
      </w:r>
    </w:p>
    <w:p w14:paraId="341C2FBD">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 需支持按照不同的维度进行分组统计，例如按审核类型或审核项目，方便用户进行更详细的数据分析和对比。</w:t>
      </w:r>
    </w:p>
    <w:p w14:paraId="32324C6D">
      <w:pPr>
        <w:pStyle w:val="5"/>
        <w:numPr>
          <w:ilvl w:val="3"/>
          <w:numId w:val="0"/>
        </w:numPr>
        <w:rPr>
          <w:rFonts w:asciiTheme="majorEastAsia" w:hAnsiTheme="majorEastAsia"/>
          <w:sz w:val="24"/>
          <w:szCs w:val="21"/>
          <w:highlight w:val="none"/>
        </w:rPr>
      </w:pPr>
      <w:bookmarkStart w:id="23" w:name="_Toc11043"/>
      <w:r>
        <w:rPr>
          <w:rFonts w:hint="eastAsia" w:asciiTheme="majorEastAsia" w:hAnsiTheme="majorEastAsia"/>
          <w:sz w:val="24"/>
          <w:szCs w:val="21"/>
          <w:highlight w:val="none"/>
        </w:rPr>
        <w:t>6.4.6.4审核日志管理</w:t>
      </w:r>
      <w:bookmarkEnd w:id="23"/>
    </w:p>
    <w:p w14:paraId="78C8585C">
      <w:pPr>
        <w:widowControl w:val="0"/>
        <w:spacing w:after="120"/>
        <w:ind w:firstLine="440"/>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需记录系统智能审核的全过程，并需提供了详细的日志展示。</w:t>
      </w:r>
    </w:p>
    <w:p w14:paraId="6DFF25F3">
      <w:pPr>
        <w:pStyle w:val="4"/>
        <w:numPr>
          <w:ilvl w:val="2"/>
          <w:numId w:val="0"/>
        </w:numPr>
        <w:rPr>
          <w:rFonts w:ascii="宋体" w:hAnsi="宋体" w:eastAsia="宋体" w:cs="宋体"/>
          <w:highlight w:val="none"/>
        </w:rPr>
      </w:pPr>
      <w:r>
        <w:rPr>
          <w:rFonts w:hint="eastAsia" w:ascii="宋体" w:hAnsi="宋体" w:eastAsia="宋体" w:cs="宋体"/>
          <w:szCs w:val="32"/>
          <w:highlight w:val="none"/>
        </w:rPr>
        <w:t>6.4.7</w:t>
      </w:r>
      <w:r>
        <w:rPr>
          <w:rFonts w:hint="eastAsia" w:ascii="宋体" w:hAnsi="宋体" w:eastAsia="宋体" w:cs="宋体"/>
          <w:highlight w:val="none"/>
        </w:rPr>
        <w:t>申诉原因管理</w:t>
      </w:r>
    </w:p>
    <w:p w14:paraId="40B22699">
      <w:pPr>
        <w:widowControl w:val="0"/>
        <w:spacing w:after="120"/>
        <w:ind w:firstLine="440"/>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支持对申诉原因的统一管理，要求：</w:t>
      </w:r>
    </w:p>
    <w:p w14:paraId="47B46463">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1、支持申诉原因分类，供填写人员快速筛选</w:t>
      </w:r>
    </w:p>
    <w:p w14:paraId="6E43810C">
      <w:pPr>
        <w:widowControl w:val="0"/>
        <w:spacing w:after="0"/>
        <w:ind w:firstLine="442"/>
        <w:jc w:val="both"/>
        <w:rPr>
          <w:rFonts w:ascii="宋体" w:hAnsi="宋体" w:eastAsia="宋体" w:cs="Times New Roman"/>
          <w:kern w:val="2"/>
          <w:sz w:val="24"/>
          <w:szCs w:val="24"/>
          <w:highlight w:val="none"/>
          <w:lang w:eastAsia="zh-CN" w:bidi="ar-SA"/>
        </w:rPr>
      </w:pPr>
      <w:r>
        <w:rPr>
          <w:rFonts w:hint="eastAsia" w:ascii="宋体" w:hAnsi="宋体" w:eastAsia="宋体" w:cs="Times New Roman"/>
          <w:kern w:val="2"/>
          <w:sz w:val="24"/>
          <w:szCs w:val="24"/>
          <w:highlight w:val="none"/>
          <w:lang w:eastAsia="zh-CN" w:bidi="ar-SA"/>
        </w:rPr>
        <w:t>2、汇总临床填写的违规原因，并支持查看明细及导出，用于事后核查</w:t>
      </w:r>
    </w:p>
    <w:p w14:paraId="125786F3">
      <w:pPr>
        <w:pStyle w:val="3"/>
        <w:numPr>
          <w:ilvl w:val="1"/>
          <w:numId w:val="0"/>
        </w:numPr>
        <w:rPr>
          <w:rFonts w:ascii="宋体" w:hAnsi="宋体" w:eastAsia="宋体" w:cs="宋体"/>
          <w:sz w:val="28"/>
          <w:szCs w:val="24"/>
          <w:highlight w:val="none"/>
        </w:rPr>
      </w:pPr>
      <w:r>
        <w:rPr>
          <w:rFonts w:hint="eastAsia" w:ascii="宋体" w:hAnsi="宋体" w:eastAsia="宋体" w:cs="宋体"/>
          <w:sz w:val="28"/>
          <w:szCs w:val="28"/>
          <w:highlight w:val="none"/>
        </w:rPr>
        <w:t>6.5</w:t>
      </w:r>
      <w:r>
        <w:rPr>
          <w:rFonts w:hint="eastAsia" w:ascii="宋体" w:hAnsi="宋体" w:eastAsia="宋体" w:cs="宋体"/>
          <w:sz w:val="28"/>
          <w:szCs w:val="24"/>
          <w:highlight w:val="none"/>
        </w:rPr>
        <w:t>政策知识库</w:t>
      </w:r>
    </w:p>
    <w:p w14:paraId="594182B4">
      <w:pPr>
        <w:spacing w:after="120"/>
        <w:ind w:firstLine="440"/>
        <w:rPr>
          <w:rFonts w:ascii="宋体" w:hAnsi="宋体" w:eastAsia="宋体" w:cs="宋体"/>
          <w:sz w:val="24"/>
          <w:szCs w:val="24"/>
          <w:highlight w:val="none"/>
          <w:lang w:eastAsia="zh-CN"/>
        </w:rPr>
      </w:pPr>
      <w:bookmarkStart w:id="24" w:name="_Hlk174115427"/>
      <w:r>
        <w:rPr>
          <w:rFonts w:hint="eastAsia" w:ascii="宋体" w:hAnsi="宋体" w:eastAsia="宋体" w:cs="宋体"/>
          <w:sz w:val="24"/>
          <w:szCs w:val="24"/>
          <w:highlight w:val="none"/>
          <w:lang w:eastAsia="zh-CN"/>
        </w:rPr>
        <w:t>提供广东省政策查询小程序，可随时查看广东省各地医保结算政策及常见问题</w:t>
      </w:r>
      <w:bookmarkEnd w:id="24"/>
      <w:r>
        <w:rPr>
          <w:rFonts w:hint="eastAsia" w:ascii="宋体" w:hAnsi="宋体" w:eastAsia="宋体" w:cs="宋体"/>
          <w:sz w:val="24"/>
          <w:szCs w:val="24"/>
          <w:highlight w:val="none"/>
          <w:lang w:eastAsia="zh-CN"/>
        </w:rPr>
        <w:t>（要求提供现场系统演示）。</w:t>
      </w:r>
    </w:p>
    <w:bookmarkEnd w:id="17"/>
    <w:p w14:paraId="16B581B2">
      <w:pPr>
        <w:pStyle w:val="3"/>
        <w:numPr>
          <w:ilvl w:val="1"/>
          <w:numId w:val="0"/>
        </w:numPr>
        <w:rPr>
          <w:rFonts w:ascii="宋体" w:hAnsi="宋体" w:eastAsia="宋体" w:cs="宋体"/>
          <w:sz w:val="28"/>
          <w:szCs w:val="24"/>
          <w:highlight w:val="none"/>
        </w:rPr>
      </w:pPr>
      <w:r>
        <w:rPr>
          <w:rFonts w:hint="eastAsia" w:ascii="宋体" w:hAnsi="宋体" w:eastAsia="宋体" w:cs="宋体"/>
          <w:sz w:val="28"/>
          <w:szCs w:val="28"/>
          <w:highlight w:val="none"/>
        </w:rPr>
        <w:t>6.6</w:t>
      </w:r>
      <w:r>
        <w:rPr>
          <w:rFonts w:hint="eastAsia" w:ascii="宋体" w:hAnsi="宋体" w:eastAsia="宋体" w:cs="宋体"/>
          <w:sz w:val="28"/>
          <w:szCs w:val="24"/>
          <w:highlight w:val="none"/>
        </w:rPr>
        <w:t>系统管理</w:t>
      </w:r>
    </w:p>
    <w:p w14:paraId="582473BC">
      <w:pPr>
        <w:pStyle w:val="4"/>
        <w:numPr>
          <w:ilvl w:val="2"/>
          <w:numId w:val="0"/>
        </w:numPr>
        <w:rPr>
          <w:rFonts w:ascii="宋体" w:hAnsi="宋体" w:eastAsia="宋体" w:cs="宋体"/>
          <w:highlight w:val="none"/>
        </w:rPr>
      </w:pPr>
      <w:bookmarkStart w:id="25" w:name="_Toc1788650036"/>
      <w:bookmarkStart w:id="26" w:name="_Toc346"/>
      <w:r>
        <w:rPr>
          <w:rFonts w:hint="eastAsia" w:ascii="宋体" w:hAnsi="宋体" w:eastAsia="宋体" w:cs="宋体"/>
          <w:szCs w:val="32"/>
          <w:highlight w:val="none"/>
        </w:rPr>
        <w:t>6.6.1</w:t>
      </w:r>
      <w:r>
        <w:rPr>
          <w:rFonts w:hint="eastAsia" w:ascii="宋体" w:hAnsi="宋体" w:eastAsia="宋体" w:cs="宋体"/>
          <w:highlight w:val="none"/>
        </w:rPr>
        <w:t>医保字典管理</w:t>
      </w:r>
      <w:bookmarkEnd w:id="25"/>
      <w:bookmarkEnd w:id="26"/>
    </w:p>
    <w:p w14:paraId="31E5FF09">
      <w:pPr>
        <w:pStyle w:val="13"/>
        <w:ind w:left="920" w:hanging="440" w:firstLineChars="0"/>
        <w:rPr>
          <w:rFonts w:ascii="宋体" w:hAnsi="宋体" w:cs="宋体"/>
          <w:b/>
          <w:bCs/>
          <w:highlight w:val="none"/>
        </w:rPr>
      </w:pPr>
      <w:r>
        <w:rPr>
          <w:rFonts w:ascii="宋体" w:hAnsi="宋体" w:cs="宋体"/>
          <w:b/>
          <w:bCs/>
          <w:highlight w:val="none"/>
        </w:rPr>
        <w:t>1.</w:t>
      </w:r>
      <w:r>
        <w:rPr>
          <w:rFonts w:hint="eastAsia" w:ascii="宋体" w:hAnsi="宋体" w:cs="宋体"/>
          <w:b/>
          <w:bCs/>
          <w:highlight w:val="none"/>
        </w:rPr>
        <w:t>医保疾病诊断目录维护</w:t>
      </w:r>
    </w:p>
    <w:p w14:paraId="09E94165">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需提供医保疾病诊断目录维护，要求支持管理医保系统中的疾病诊断目录信息；支持管理员添加编辑和删除疾病诊断码，包括疾病名称、ICD编码等。</w:t>
      </w:r>
    </w:p>
    <w:p w14:paraId="7D627E8F">
      <w:pPr>
        <w:pStyle w:val="13"/>
        <w:ind w:left="920" w:hanging="440" w:firstLineChars="0"/>
        <w:rPr>
          <w:rFonts w:ascii="宋体" w:hAnsi="宋体" w:cs="宋体"/>
          <w:b/>
          <w:bCs/>
          <w:highlight w:val="none"/>
        </w:rPr>
      </w:pPr>
      <w:r>
        <w:rPr>
          <w:rFonts w:ascii="宋体" w:hAnsi="宋体" w:cs="宋体"/>
          <w:b/>
          <w:bCs/>
          <w:highlight w:val="none"/>
        </w:rPr>
        <w:t>2.</w:t>
      </w:r>
      <w:r>
        <w:rPr>
          <w:rFonts w:hint="eastAsia" w:ascii="宋体" w:hAnsi="宋体" w:cs="宋体"/>
          <w:b/>
          <w:bCs/>
          <w:highlight w:val="none"/>
        </w:rPr>
        <w:t>医保手术操作目录维护</w:t>
      </w:r>
    </w:p>
    <w:p w14:paraId="65FF9F83">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需提供医保手术操作目录维护，要求支持管理医保系统中的手术操作目录信息，支持管理员添加、编辑和删除手术操作码，包括手术名称、操作码、费用等。</w:t>
      </w:r>
    </w:p>
    <w:p w14:paraId="3FB64C2B">
      <w:pPr>
        <w:pStyle w:val="13"/>
        <w:ind w:left="920" w:hanging="440" w:firstLineChars="0"/>
        <w:rPr>
          <w:rFonts w:ascii="宋体" w:hAnsi="宋体" w:cs="宋体"/>
          <w:b/>
          <w:bCs/>
          <w:highlight w:val="none"/>
        </w:rPr>
      </w:pPr>
      <w:r>
        <w:rPr>
          <w:rFonts w:ascii="宋体" w:hAnsi="宋体" w:cs="宋体"/>
          <w:b/>
          <w:bCs/>
          <w:highlight w:val="none"/>
        </w:rPr>
        <w:t>3.</w:t>
      </w:r>
      <w:r>
        <w:rPr>
          <w:rFonts w:hint="eastAsia" w:ascii="宋体" w:hAnsi="宋体" w:cs="宋体"/>
          <w:b/>
          <w:bCs/>
          <w:highlight w:val="none"/>
        </w:rPr>
        <w:t>医保药品目录维护</w:t>
      </w:r>
    </w:p>
    <w:p w14:paraId="7C8510AA">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需提供医保药品目录维护，要求：</w:t>
      </w:r>
    </w:p>
    <w:p w14:paraId="320FF9D1">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1)支持管理医保系统中的药品目录信息。</w:t>
      </w:r>
    </w:p>
    <w:p w14:paraId="5DB14F1E">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2)支持管理员添加、编辑和删除药品信息，包括药品名称、编码、剂型、规格等。药品目录维护还需支持药品分类的设定，方便根据不同的药品类型进行管理和查询。</w:t>
      </w:r>
    </w:p>
    <w:p w14:paraId="7CEE1394">
      <w:pPr>
        <w:pStyle w:val="13"/>
        <w:ind w:left="920" w:hanging="440" w:firstLineChars="0"/>
        <w:rPr>
          <w:rFonts w:ascii="宋体" w:hAnsi="宋体" w:cs="宋体"/>
          <w:b/>
          <w:bCs/>
          <w:highlight w:val="none"/>
        </w:rPr>
      </w:pPr>
      <w:r>
        <w:rPr>
          <w:rFonts w:ascii="宋体" w:hAnsi="宋体" w:cs="宋体"/>
          <w:b/>
          <w:bCs/>
          <w:highlight w:val="none"/>
        </w:rPr>
        <w:t>4.</w:t>
      </w:r>
      <w:r>
        <w:rPr>
          <w:rFonts w:hint="eastAsia" w:ascii="宋体" w:hAnsi="宋体" w:cs="宋体"/>
          <w:b/>
          <w:bCs/>
          <w:highlight w:val="none"/>
        </w:rPr>
        <w:t>医疗服务项目维护</w:t>
      </w:r>
    </w:p>
    <w:p w14:paraId="4113DE56">
      <w:pPr>
        <w:spacing w:after="120"/>
        <w:ind w:firstLine="440"/>
        <w:rPr>
          <w:rFonts w:ascii="宋体" w:hAnsi="宋体" w:eastAsia="宋体" w:cs="宋体"/>
          <w:highlight w:val="none"/>
          <w:lang w:eastAsia="zh-CN"/>
        </w:rPr>
      </w:pPr>
      <w:r>
        <w:rPr>
          <w:rFonts w:hint="eastAsia" w:ascii="宋体" w:hAnsi="宋体" w:eastAsia="宋体" w:cs="宋体"/>
          <w:sz w:val="24"/>
          <w:szCs w:val="24"/>
          <w:highlight w:val="none"/>
          <w:lang w:eastAsia="zh-CN"/>
        </w:rPr>
        <w:t>需提供医疗服务项目维护，要求：</w:t>
      </w:r>
    </w:p>
    <w:p w14:paraId="462A0540">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1)支持管理医保系统中的医疗服务项目信息。</w:t>
      </w:r>
    </w:p>
    <w:p w14:paraId="32AA554B">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2)支持管理员添加、编辑和删除医疗服务项目，包括项目名称、编码、收费标准等。</w:t>
      </w:r>
    </w:p>
    <w:p w14:paraId="200153E2">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3)医疗服务项目维护支持项目分类的设定，方便按照不同的服务类型进行管理和查询。</w:t>
      </w:r>
    </w:p>
    <w:p w14:paraId="766D1C1F">
      <w:pPr>
        <w:pStyle w:val="4"/>
        <w:numPr>
          <w:ilvl w:val="2"/>
          <w:numId w:val="0"/>
        </w:numPr>
        <w:rPr>
          <w:rFonts w:ascii="宋体" w:hAnsi="宋体" w:eastAsia="宋体" w:cs="宋体"/>
          <w:highlight w:val="none"/>
        </w:rPr>
      </w:pPr>
      <w:bookmarkStart w:id="27" w:name="_Toc24590"/>
      <w:bookmarkStart w:id="28" w:name="_Toc1365064346"/>
      <w:r>
        <w:rPr>
          <w:rFonts w:hint="eastAsia" w:ascii="宋体" w:hAnsi="宋体" w:eastAsia="宋体" w:cs="宋体"/>
          <w:szCs w:val="32"/>
          <w:highlight w:val="none"/>
        </w:rPr>
        <w:t>6.6.2</w:t>
      </w:r>
      <w:r>
        <w:rPr>
          <w:rFonts w:hint="eastAsia" w:ascii="宋体" w:hAnsi="宋体" w:eastAsia="宋体" w:cs="宋体"/>
          <w:highlight w:val="none"/>
        </w:rPr>
        <w:t>院内字典与映射</w:t>
      </w:r>
      <w:bookmarkEnd w:id="27"/>
      <w:bookmarkEnd w:id="28"/>
    </w:p>
    <w:p w14:paraId="75792A51">
      <w:pPr>
        <w:pStyle w:val="13"/>
        <w:ind w:left="920" w:hanging="440" w:firstLineChars="0"/>
        <w:rPr>
          <w:rFonts w:ascii="宋体" w:hAnsi="宋体" w:cs="宋体"/>
          <w:b/>
          <w:bCs/>
          <w:highlight w:val="none"/>
        </w:rPr>
      </w:pPr>
      <w:r>
        <w:rPr>
          <w:rFonts w:ascii="宋体" w:hAnsi="宋体" w:cs="宋体"/>
          <w:b/>
          <w:bCs/>
          <w:highlight w:val="none"/>
        </w:rPr>
        <w:t>1.</w:t>
      </w:r>
      <w:r>
        <w:rPr>
          <w:rFonts w:hint="eastAsia" w:ascii="宋体" w:hAnsi="宋体" w:cs="宋体"/>
          <w:b/>
          <w:bCs/>
          <w:highlight w:val="none"/>
        </w:rPr>
        <w:t>ICD10编码映射管理</w:t>
      </w:r>
    </w:p>
    <w:p w14:paraId="04FE98CA">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需提供ICD10编码映射管理，要求：</w:t>
      </w:r>
    </w:p>
    <w:p w14:paraId="44F5724C">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支持管理医院系统中的ICD10编码映射信息；</w:t>
      </w:r>
    </w:p>
    <w:p w14:paraId="7892FE25">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支持管理员导入、修改和删除ICD10编码及其对应的其他编码系统的映射关系。</w:t>
      </w:r>
    </w:p>
    <w:p w14:paraId="418B051E">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支持管理员通过映射管理快速查询、转换不同编码系统的诊断信息，提高医保数据编码的统一性和一致性。</w:t>
      </w:r>
    </w:p>
    <w:p w14:paraId="77BD0781">
      <w:pPr>
        <w:pStyle w:val="13"/>
        <w:ind w:left="920" w:hanging="440" w:firstLineChars="0"/>
        <w:rPr>
          <w:rFonts w:ascii="宋体" w:hAnsi="宋体" w:cs="宋体"/>
          <w:b/>
          <w:bCs/>
          <w:highlight w:val="none"/>
        </w:rPr>
      </w:pPr>
      <w:r>
        <w:rPr>
          <w:rFonts w:ascii="宋体" w:hAnsi="宋体" w:cs="宋体"/>
          <w:b/>
          <w:bCs/>
          <w:highlight w:val="none"/>
        </w:rPr>
        <w:t>2.</w:t>
      </w:r>
      <w:r>
        <w:rPr>
          <w:rFonts w:hint="eastAsia" w:ascii="宋体" w:hAnsi="宋体" w:cs="宋体"/>
          <w:b/>
          <w:bCs/>
          <w:highlight w:val="none"/>
        </w:rPr>
        <w:t>ICD9编码映射管理</w:t>
      </w:r>
    </w:p>
    <w:p w14:paraId="76FE5672">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需提供ICD9编码映射管理，要求：</w:t>
      </w:r>
    </w:p>
    <w:p w14:paraId="41E374A9">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hint="eastAsia" w:ascii="宋体" w:hAnsi="宋体" w:eastAsia="宋体" w:cs="宋体"/>
          <w:sz w:val="24"/>
          <w:szCs w:val="24"/>
          <w:highlight w:val="none"/>
          <w:lang w:eastAsia="zh-CN"/>
        </w:rPr>
        <w:t>支持管理医院系统中的ICD9编码映射信息。</w:t>
      </w:r>
    </w:p>
    <w:p w14:paraId="3CC87D7C">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w:t>
      </w:r>
      <w:r>
        <w:rPr>
          <w:rFonts w:hint="eastAsia" w:ascii="宋体" w:hAnsi="宋体" w:eastAsia="宋体" w:cs="宋体"/>
          <w:sz w:val="24"/>
          <w:szCs w:val="24"/>
          <w:highlight w:val="none"/>
          <w:lang w:eastAsia="zh-CN"/>
        </w:rPr>
        <w:t>支持管理员导入、修改和删除ICD9编码及其对应的其他编码系统的映射关系。</w:t>
      </w:r>
    </w:p>
    <w:p w14:paraId="354112F4">
      <w:pPr>
        <w:widowControl w:val="0"/>
        <w:spacing w:after="120"/>
        <w:ind w:left="845" w:hanging="425"/>
        <w:jc w:val="both"/>
        <w:rPr>
          <w:rFonts w:ascii="宋体" w:hAnsi="宋体" w:eastAsia="宋体" w:cs="宋体"/>
          <w:sz w:val="24"/>
          <w:szCs w:val="24"/>
          <w:highlight w:val="none"/>
          <w:lang w:eastAsia="zh-CN"/>
        </w:rPr>
      </w:pPr>
      <w:r>
        <w:rPr>
          <w:rFonts w:ascii="宋体" w:hAnsi="宋体" w:eastAsia="宋体" w:cs="宋体"/>
          <w:sz w:val="24"/>
          <w:szCs w:val="24"/>
          <w:highlight w:val="none"/>
          <w:lang w:eastAsia="zh-CN"/>
        </w:rPr>
        <w:t>3)</w:t>
      </w:r>
      <w:r>
        <w:rPr>
          <w:rFonts w:hint="eastAsia" w:ascii="宋体" w:hAnsi="宋体" w:eastAsia="宋体" w:cs="宋体"/>
          <w:sz w:val="24"/>
          <w:szCs w:val="24"/>
          <w:highlight w:val="none"/>
          <w:lang w:eastAsia="zh-CN"/>
        </w:rPr>
        <w:t>支持管理员通过映射管理快速查询、转换不同编码系统的手术操作信息，提高医保数据编码的统一性和一致性。</w:t>
      </w:r>
    </w:p>
    <w:p w14:paraId="03D0FB4F">
      <w:pPr>
        <w:pStyle w:val="13"/>
        <w:ind w:left="920" w:hanging="440" w:firstLineChars="0"/>
        <w:rPr>
          <w:rFonts w:ascii="宋体" w:hAnsi="宋体" w:cs="宋体"/>
          <w:b/>
          <w:bCs/>
          <w:highlight w:val="none"/>
        </w:rPr>
      </w:pPr>
      <w:r>
        <w:rPr>
          <w:rFonts w:ascii="宋体" w:hAnsi="宋体" w:cs="宋体"/>
          <w:b/>
          <w:bCs/>
          <w:highlight w:val="none"/>
        </w:rPr>
        <w:t>3.</w:t>
      </w:r>
      <w:r>
        <w:rPr>
          <w:rFonts w:hint="eastAsia" w:ascii="宋体" w:hAnsi="宋体" w:cs="宋体"/>
          <w:b/>
          <w:bCs/>
          <w:highlight w:val="none"/>
        </w:rPr>
        <w:t>医院药品目录医保对照</w:t>
      </w:r>
    </w:p>
    <w:p w14:paraId="6EAB3D99">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需提供医院药品目录医保对照，要求支持管理医院药品目录与医保目录之间的对照关系，同时支持管理员为每个药品在医保目录中设定对应的医保编码，以便进行多种类型的医保费用计算。</w:t>
      </w:r>
    </w:p>
    <w:p w14:paraId="01741672">
      <w:pPr>
        <w:pStyle w:val="13"/>
        <w:ind w:left="920" w:hanging="440" w:firstLineChars="0"/>
        <w:rPr>
          <w:rFonts w:ascii="宋体" w:hAnsi="宋体" w:cs="宋体"/>
          <w:b/>
          <w:bCs/>
          <w:highlight w:val="none"/>
        </w:rPr>
      </w:pPr>
      <w:r>
        <w:rPr>
          <w:rFonts w:ascii="宋体" w:hAnsi="宋体" w:cs="宋体"/>
          <w:b/>
          <w:bCs/>
          <w:highlight w:val="none"/>
        </w:rPr>
        <w:t>4.</w:t>
      </w:r>
      <w:r>
        <w:rPr>
          <w:rFonts w:hint="eastAsia" w:ascii="宋体" w:hAnsi="宋体" w:cs="宋体"/>
          <w:b/>
          <w:bCs/>
          <w:highlight w:val="none"/>
        </w:rPr>
        <w:t>医院诊疗目录医保对照</w:t>
      </w:r>
    </w:p>
    <w:p w14:paraId="4454C99A">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需提供医院诊疗目录医保对照，要求支持管理医院诊疗目录与医保目录之间的对照关系，同时支持管理员为每个诊疗项目在医保目录中设定对应的医保编码，以便进行多种类型的医保费用计算。</w:t>
      </w:r>
    </w:p>
    <w:p w14:paraId="10123BD2">
      <w:pPr>
        <w:pStyle w:val="4"/>
        <w:numPr>
          <w:ilvl w:val="2"/>
          <w:numId w:val="0"/>
        </w:numPr>
        <w:rPr>
          <w:rFonts w:ascii="宋体" w:hAnsi="宋体" w:eastAsia="宋体" w:cs="宋体"/>
          <w:highlight w:val="none"/>
        </w:rPr>
      </w:pPr>
      <w:bookmarkStart w:id="29" w:name="_Toc1068662321"/>
      <w:bookmarkStart w:id="30" w:name="_Toc13580"/>
      <w:r>
        <w:rPr>
          <w:rFonts w:hint="eastAsia" w:ascii="宋体" w:hAnsi="宋体" w:eastAsia="宋体" w:cs="宋体"/>
          <w:szCs w:val="32"/>
          <w:highlight w:val="none"/>
        </w:rPr>
        <w:t>6.6.3</w:t>
      </w:r>
      <w:r>
        <w:rPr>
          <w:rFonts w:hint="eastAsia" w:ascii="宋体" w:hAnsi="宋体" w:eastAsia="宋体" w:cs="宋体"/>
          <w:highlight w:val="none"/>
        </w:rPr>
        <w:t>系统管理</w:t>
      </w:r>
      <w:bookmarkEnd w:id="29"/>
      <w:bookmarkEnd w:id="30"/>
    </w:p>
    <w:p w14:paraId="02D8A07F">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提供用户管理、角色管理、菜单管理、科室管理等，支撑系统正常运行。</w:t>
      </w:r>
    </w:p>
    <w:p w14:paraId="1CD7E26E">
      <w:pPr>
        <w:pStyle w:val="3"/>
        <w:numPr>
          <w:ilvl w:val="1"/>
          <w:numId w:val="0"/>
        </w:numPr>
        <w:rPr>
          <w:rFonts w:ascii="宋体" w:hAnsi="宋体" w:eastAsia="宋体" w:cs="宋体"/>
          <w:sz w:val="28"/>
          <w:szCs w:val="24"/>
          <w:highlight w:val="none"/>
        </w:rPr>
      </w:pPr>
      <w:r>
        <w:rPr>
          <w:rFonts w:hint="eastAsia" w:ascii="宋体" w:hAnsi="宋体" w:eastAsia="宋体" w:cs="宋体"/>
          <w:sz w:val="28"/>
          <w:szCs w:val="28"/>
          <w:highlight w:val="none"/>
        </w:rPr>
        <w:t>6.7</w:t>
      </w:r>
      <w:r>
        <w:rPr>
          <w:rFonts w:hint="eastAsia" w:ascii="宋体" w:hAnsi="宋体" w:eastAsia="宋体" w:cs="宋体"/>
          <w:sz w:val="28"/>
          <w:szCs w:val="24"/>
          <w:highlight w:val="none"/>
        </w:rPr>
        <w:t>配套的硬件设施</w:t>
      </w:r>
    </w:p>
    <w:p w14:paraId="668E6E97">
      <w:pPr>
        <w:spacing w:after="120"/>
        <w:ind w:firstLine="44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要求提供支撑本项目配套的硬件设施，要求至少满足如下参数：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358"/>
        <w:gridCol w:w="661"/>
        <w:gridCol w:w="5839"/>
      </w:tblGrid>
      <w:tr w14:paraId="0A13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3" w:type="dxa"/>
          </w:tcPr>
          <w:p w14:paraId="704BBC72">
            <w:pPr>
              <w:pStyle w:val="7"/>
              <w:jc w:val="center"/>
              <w:rPr>
                <w:b/>
                <w:bCs/>
                <w:highlight w:val="none"/>
                <w:lang w:bidi="en-US"/>
              </w:rPr>
            </w:pPr>
            <w:r>
              <w:rPr>
                <w:rFonts w:hint="eastAsia"/>
                <w:b/>
                <w:bCs/>
                <w:highlight w:val="none"/>
                <w:lang w:bidi="en-US"/>
              </w:rPr>
              <w:t>序号</w:t>
            </w:r>
          </w:p>
        </w:tc>
        <w:tc>
          <w:tcPr>
            <w:tcW w:w="1550" w:type="dxa"/>
          </w:tcPr>
          <w:p w14:paraId="57EC3AAB">
            <w:pPr>
              <w:pStyle w:val="7"/>
              <w:jc w:val="center"/>
              <w:rPr>
                <w:b/>
                <w:bCs/>
                <w:highlight w:val="none"/>
                <w:lang w:bidi="en-US"/>
              </w:rPr>
            </w:pPr>
            <w:r>
              <w:rPr>
                <w:rFonts w:hint="eastAsia"/>
                <w:b/>
                <w:bCs/>
                <w:highlight w:val="none"/>
                <w:lang w:bidi="en-US"/>
              </w:rPr>
              <w:t>名称</w:t>
            </w:r>
          </w:p>
        </w:tc>
        <w:tc>
          <w:tcPr>
            <w:tcW w:w="709" w:type="dxa"/>
          </w:tcPr>
          <w:p w14:paraId="1735E35F">
            <w:pPr>
              <w:pStyle w:val="7"/>
              <w:jc w:val="center"/>
              <w:rPr>
                <w:b/>
                <w:bCs/>
                <w:highlight w:val="none"/>
                <w:lang w:bidi="en-US"/>
              </w:rPr>
            </w:pPr>
            <w:r>
              <w:rPr>
                <w:rFonts w:hint="eastAsia"/>
                <w:b/>
                <w:bCs/>
                <w:highlight w:val="none"/>
                <w:lang w:bidi="en-US"/>
              </w:rPr>
              <w:t>数量</w:t>
            </w:r>
          </w:p>
        </w:tc>
        <w:tc>
          <w:tcPr>
            <w:tcW w:w="6088" w:type="dxa"/>
          </w:tcPr>
          <w:p w14:paraId="2D71907A">
            <w:pPr>
              <w:pStyle w:val="7"/>
              <w:jc w:val="center"/>
              <w:rPr>
                <w:b/>
                <w:bCs/>
                <w:highlight w:val="none"/>
                <w:lang w:bidi="en-US"/>
              </w:rPr>
            </w:pPr>
            <w:r>
              <w:rPr>
                <w:rFonts w:hint="eastAsia"/>
                <w:b/>
                <w:bCs/>
                <w:highlight w:val="none"/>
                <w:lang w:bidi="en-US"/>
              </w:rPr>
              <w:t>参数</w:t>
            </w:r>
          </w:p>
        </w:tc>
      </w:tr>
      <w:tr w14:paraId="1D44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14:paraId="4249E9A8">
            <w:pPr>
              <w:pStyle w:val="7"/>
              <w:jc w:val="center"/>
              <w:rPr>
                <w:highlight w:val="none"/>
                <w:lang w:bidi="en-US"/>
              </w:rPr>
            </w:pPr>
            <w:r>
              <w:rPr>
                <w:rFonts w:hint="eastAsia"/>
                <w:highlight w:val="none"/>
                <w:lang w:bidi="en-US"/>
              </w:rPr>
              <w:t>1</w:t>
            </w:r>
          </w:p>
        </w:tc>
        <w:tc>
          <w:tcPr>
            <w:tcW w:w="1550" w:type="dxa"/>
          </w:tcPr>
          <w:p w14:paraId="1749BE3B">
            <w:pPr>
              <w:pStyle w:val="7"/>
              <w:jc w:val="center"/>
              <w:rPr>
                <w:color w:val="0000FF"/>
                <w:highlight w:val="none"/>
                <w:lang w:bidi="en-US"/>
              </w:rPr>
            </w:pPr>
            <w:r>
              <w:rPr>
                <w:rFonts w:hint="eastAsia"/>
                <w:color w:val="0000FF"/>
                <w:highlight w:val="none"/>
                <w:lang w:bidi="en-US"/>
              </w:rPr>
              <w:t>数据库服务器</w:t>
            </w:r>
          </w:p>
        </w:tc>
        <w:tc>
          <w:tcPr>
            <w:tcW w:w="709" w:type="dxa"/>
          </w:tcPr>
          <w:p w14:paraId="40936E9C">
            <w:pPr>
              <w:pStyle w:val="7"/>
              <w:jc w:val="center"/>
              <w:rPr>
                <w:color w:val="0000FF"/>
                <w:highlight w:val="none"/>
                <w:lang w:bidi="en-US"/>
              </w:rPr>
            </w:pPr>
            <w:r>
              <w:rPr>
                <w:rFonts w:hint="eastAsia"/>
                <w:color w:val="0000FF"/>
                <w:highlight w:val="none"/>
                <w:lang w:bidi="en-US"/>
              </w:rPr>
              <w:t>1台</w:t>
            </w:r>
          </w:p>
        </w:tc>
        <w:tc>
          <w:tcPr>
            <w:tcW w:w="6088" w:type="dxa"/>
          </w:tcPr>
          <w:p w14:paraId="397C2CC8">
            <w:pPr>
              <w:pStyle w:val="7"/>
              <w:jc w:val="left"/>
              <w:rPr>
                <w:highlight w:val="none"/>
                <w:lang w:bidi="en-US"/>
              </w:rPr>
            </w:pPr>
            <w:r>
              <w:rPr>
                <w:rFonts w:hint="eastAsia"/>
                <w:highlight w:val="none"/>
                <w:lang w:bidi="en-US"/>
              </w:rPr>
              <w:t>C</w:t>
            </w:r>
            <w:r>
              <w:rPr>
                <w:highlight w:val="none"/>
                <w:lang w:bidi="en-US"/>
              </w:rPr>
              <w:t>PU</w:t>
            </w:r>
            <w:r>
              <w:rPr>
                <w:rStyle w:val="15"/>
                <w:rFonts w:hint="default" w:cs="Arial"/>
                <w:highlight w:val="none"/>
                <w:lang w:val="en"/>
              </w:rPr>
              <w:t>≥</w:t>
            </w:r>
            <w:r>
              <w:rPr>
                <w:highlight w:val="none"/>
                <w:lang w:bidi="en-US"/>
              </w:rPr>
              <w:t>16</w:t>
            </w:r>
            <w:r>
              <w:rPr>
                <w:rFonts w:hint="eastAsia"/>
                <w:highlight w:val="none"/>
                <w:lang w:bidi="en-US"/>
              </w:rPr>
              <w:t>核；内存</w:t>
            </w:r>
            <w:r>
              <w:rPr>
                <w:rStyle w:val="15"/>
                <w:rFonts w:hint="default" w:cs="Arial"/>
                <w:highlight w:val="none"/>
                <w:lang w:val="en"/>
              </w:rPr>
              <w:t>≥</w:t>
            </w:r>
            <w:r>
              <w:rPr>
                <w:rFonts w:hint="eastAsia"/>
                <w:highlight w:val="none"/>
                <w:lang w:bidi="en-US"/>
              </w:rPr>
              <w:t>3</w:t>
            </w:r>
            <w:r>
              <w:rPr>
                <w:highlight w:val="none"/>
                <w:lang w:bidi="en-US"/>
              </w:rPr>
              <w:t>2G</w:t>
            </w:r>
            <w:r>
              <w:rPr>
                <w:rFonts w:hint="eastAsia"/>
                <w:highlight w:val="none"/>
                <w:lang w:bidi="en-US"/>
              </w:rPr>
              <w:t>；存储</w:t>
            </w:r>
            <w:r>
              <w:rPr>
                <w:rStyle w:val="15"/>
                <w:rFonts w:hint="default" w:cs="Arial"/>
                <w:highlight w:val="none"/>
                <w:lang w:val="en"/>
              </w:rPr>
              <w:t>≥</w:t>
            </w:r>
            <w:r>
              <w:rPr>
                <w:rFonts w:hint="eastAsia"/>
                <w:highlight w:val="none"/>
                <w:lang w:bidi="en-US"/>
              </w:rPr>
              <w:t>1TB，</w:t>
            </w:r>
          </w:p>
          <w:p w14:paraId="75503AC4">
            <w:pPr>
              <w:pStyle w:val="7"/>
              <w:jc w:val="left"/>
              <w:rPr>
                <w:highlight w:val="none"/>
                <w:lang w:bidi="en-US"/>
              </w:rPr>
            </w:pPr>
            <w:r>
              <w:rPr>
                <w:rFonts w:hint="eastAsia"/>
                <w:highlight w:val="none"/>
                <w:lang w:bidi="en-US"/>
              </w:rPr>
              <w:t>操作系统相当于</w:t>
            </w:r>
            <w:r>
              <w:rPr>
                <w:highlight w:val="none"/>
                <w:lang w:bidi="en-US"/>
              </w:rPr>
              <w:t>WindowsServer2019R2/WindowsServer2016R2;</w:t>
            </w:r>
          </w:p>
          <w:p w14:paraId="4E8685A9">
            <w:pPr>
              <w:pStyle w:val="7"/>
              <w:jc w:val="left"/>
              <w:rPr>
                <w:highlight w:val="none"/>
                <w:lang w:bidi="en-US"/>
              </w:rPr>
            </w:pPr>
            <w:r>
              <w:rPr>
                <w:highlight w:val="none"/>
                <w:lang w:bidi="en-US"/>
              </w:rPr>
              <w:t xml:space="preserve"> </w:t>
            </w:r>
            <w:r>
              <w:rPr>
                <w:rFonts w:hint="eastAsia"/>
                <w:highlight w:val="none"/>
                <w:lang w:bidi="en-US"/>
              </w:rPr>
              <w:t>需提供系统超级管理员账号；</w:t>
            </w:r>
          </w:p>
        </w:tc>
      </w:tr>
      <w:tr w14:paraId="57DF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14:paraId="521F419B">
            <w:pPr>
              <w:pStyle w:val="7"/>
              <w:jc w:val="center"/>
              <w:rPr>
                <w:highlight w:val="none"/>
                <w:lang w:bidi="en-US"/>
              </w:rPr>
            </w:pPr>
            <w:r>
              <w:rPr>
                <w:rFonts w:hint="eastAsia"/>
                <w:highlight w:val="none"/>
                <w:lang w:bidi="en-US"/>
              </w:rPr>
              <w:t>2</w:t>
            </w:r>
          </w:p>
        </w:tc>
        <w:tc>
          <w:tcPr>
            <w:tcW w:w="1550" w:type="dxa"/>
          </w:tcPr>
          <w:p w14:paraId="068D7D77">
            <w:pPr>
              <w:pStyle w:val="7"/>
              <w:jc w:val="center"/>
              <w:rPr>
                <w:color w:val="0000FF"/>
                <w:highlight w:val="none"/>
                <w:lang w:bidi="en-US"/>
              </w:rPr>
            </w:pPr>
            <w:r>
              <w:rPr>
                <w:rFonts w:hint="eastAsia"/>
                <w:color w:val="0000FF"/>
                <w:highlight w:val="none"/>
                <w:lang w:bidi="en-US"/>
              </w:rPr>
              <w:t>应用服务器</w:t>
            </w:r>
          </w:p>
        </w:tc>
        <w:tc>
          <w:tcPr>
            <w:tcW w:w="709" w:type="dxa"/>
          </w:tcPr>
          <w:p w14:paraId="462E122B">
            <w:pPr>
              <w:pStyle w:val="7"/>
              <w:jc w:val="center"/>
              <w:rPr>
                <w:color w:val="0000FF"/>
                <w:highlight w:val="none"/>
                <w:lang w:bidi="en-US"/>
              </w:rPr>
            </w:pPr>
            <w:r>
              <w:rPr>
                <w:rFonts w:hint="eastAsia"/>
                <w:color w:val="0000FF"/>
                <w:highlight w:val="none"/>
                <w:lang w:bidi="en-US"/>
              </w:rPr>
              <w:t>1台</w:t>
            </w:r>
          </w:p>
        </w:tc>
        <w:tc>
          <w:tcPr>
            <w:tcW w:w="6088" w:type="dxa"/>
          </w:tcPr>
          <w:p w14:paraId="270B5E0C">
            <w:pPr>
              <w:pStyle w:val="7"/>
              <w:jc w:val="left"/>
              <w:rPr>
                <w:highlight w:val="none"/>
                <w:lang w:bidi="en-US"/>
              </w:rPr>
            </w:pPr>
            <w:r>
              <w:rPr>
                <w:rFonts w:hint="eastAsia"/>
                <w:highlight w:val="none"/>
                <w:lang w:bidi="en-US"/>
              </w:rPr>
              <w:t>C</w:t>
            </w:r>
            <w:r>
              <w:rPr>
                <w:highlight w:val="none"/>
                <w:lang w:bidi="en-US"/>
              </w:rPr>
              <w:t>PU</w:t>
            </w:r>
            <w:r>
              <w:rPr>
                <w:rStyle w:val="15"/>
                <w:rFonts w:hint="default" w:cs="Arial"/>
                <w:highlight w:val="none"/>
                <w:lang w:val="en"/>
              </w:rPr>
              <w:t>≥</w:t>
            </w:r>
            <w:r>
              <w:rPr>
                <w:highlight w:val="none"/>
                <w:lang w:bidi="en-US"/>
              </w:rPr>
              <w:t>16</w:t>
            </w:r>
            <w:r>
              <w:rPr>
                <w:rFonts w:hint="eastAsia"/>
                <w:highlight w:val="none"/>
                <w:lang w:bidi="en-US"/>
              </w:rPr>
              <w:t>核；内存</w:t>
            </w:r>
            <w:r>
              <w:rPr>
                <w:rStyle w:val="15"/>
                <w:rFonts w:hint="default" w:cs="Arial"/>
                <w:highlight w:val="none"/>
                <w:lang w:val="en"/>
              </w:rPr>
              <w:t>≥</w:t>
            </w:r>
            <w:r>
              <w:rPr>
                <w:rFonts w:hint="eastAsia"/>
                <w:highlight w:val="none"/>
                <w:lang w:bidi="en-US"/>
              </w:rPr>
              <w:t>3</w:t>
            </w:r>
            <w:r>
              <w:rPr>
                <w:highlight w:val="none"/>
                <w:lang w:bidi="en-US"/>
              </w:rPr>
              <w:t>2G</w:t>
            </w:r>
            <w:r>
              <w:rPr>
                <w:rFonts w:hint="eastAsia"/>
                <w:highlight w:val="none"/>
                <w:lang w:bidi="en-US"/>
              </w:rPr>
              <w:t>；存储</w:t>
            </w:r>
            <w:r>
              <w:rPr>
                <w:rStyle w:val="15"/>
                <w:rFonts w:hint="default" w:cs="Arial"/>
                <w:highlight w:val="none"/>
                <w:lang w:val="en"/>
              </w:rPr>
              <w:t>≥</w:t>
            </w:r>
            <w:r>
              <w:rPr>
                <w:rFonts w:hint="eastAsia"/>
                <w:highlight w:val="none"/>
                <w:lang w:bidi="en-US"/>
              </w:rPr>
              <w:t>5</w:t>
            </w:r>
            <w:r>
              <w:rPr>
                <w:highlight w:val="none"/>
                <w:lang w:bidi="en-US"/>
              </w:rPr>
              <w:t>00GB</w:t>
            </w:r>
            <w:r>
              <w:rPr>
                <w:rFonts w:hint="eastAsia"/>
                <w:highlight w:val="none"/>
                <w:lang w:bidi="en-US"/>
              </w:rPr>
              <w:t>，</w:t>
            </w:r>
          </w:p>
          <w:p w14:paraId="17683A99">
            <w:pPr>
              <w:pStyle w:val="7"/>
              <w:jc w:val="left"/>
              <w:rPr>
                <w:highlight w:val="none"/>
                <w:lang w:bidi="en-US"/>
              </w:rPr>
            </w:pPr>
            <w:r>
              <w:rPr>
                <w:rFonts w:hint="eastAsia"/>
                <w:highlight w:val="none"/>
                <w:lang w:bidi="en-US"/>
              </w:rPr>
              <w:t>操作系统相当于</w:t>
            </w:r>
            <w:r>
              <w:rPr>
                <w:highlight w:val="none"/>
                <w:lang w:bidi="en-US"/>
              </w:rPr>
              <w:t>WindowsServer2019R2/WindowsServer2016R2;</w:t>
            </w:r>
          </w:p>
          <w:p w14:paraId="0A829F65">
            <w:pPr>
              <w:pStyle w:val="7"/>
              <w:jc w:val="left"/>
              <w:rPr>
                <w:highlight w:val="none"/>
                <w:lang w:bidi="en-US"/>
              </w:rPr>
            </w:pPr>
            <w:r>
              <w:rPr>
                <w:highlight w:val="none"/>
                <w:lang w:bidi="en-US"/>
              </w:rPr>
              <w:t xml:space="preserve"> </w:t>
            </w:r>
            <w:r>
              <w:rPr>
                <w:rFonts w:hint="eastAsia"/>
                <w:highlight w:val="none"/>
                <w:lang w:bidi="en-US"/>
              </w:rPr>
              <w:t>需提供系统超级管理员账号；</w:t>
            </w:r>
          </w:p>
        </w:tc>
      </w:tr>
    </w:tbl>
    <w:p w14:paraId="229EF366">
      <w:pPr>
        <w:pStyle w:val="7"/>
        <w:rPr>
          <w:highlight w:val="none"/>
          <w:lang w:bidi="en-US"/>
        </w:rPr>
      </w:pPr>
    </w:p>
    <w:p w14:paraId="2A3FC5D2">
      <w:pPr>
        <w:pStyle w:val="2"/>
        <w:numPr>
          <w:ilvl w:val="0"/>
          <w:numId w:val="0"/>
        </w:numPr>
        <w:spacing w:before="156" w:beforeLines="50" w:after="156" w:afterLines="50"/>
        <w:ind w:left="425" w:hanging="425"/>
        <w:rPr>
          <w:rFonts w:ascii="宋体" w:hAnsi="宋体" w:eastAsia="宋体" w:cs="宋体"/>
          <w:sz w:val="32"/>
          <w:szCs w:val="32"/>
          <w:highlight w:val="none"/>
        </w:rPr>
      </w:pPr>
      <w:r>
        <w:rPr>
          <w:rFonts w:hint="eastAsia" w:ascii="宋体" w:hAnsi="宋体" w:eastAsia="宋体" w:cs="宋体"/>
          <w:sz w:val="32"/>
          <w:szCs w:val="32"/>
          <w:highlight w:val="none"/>
        </w:rPr>
        <w:t>七、商务要求</w:t>
      </w:r>
    </w:p>
    <w:p w14:paraId="253BC093">
      <w:pPr>
        <w:widowControl w:val="0"/>
        <w:tabs>
          <w:tab w:val="left" w:pos="851"/>
        </w:tabs>
        <w:snapToGrid w:val="0"/>
        <w:spacing w:after="0"/>
        <w:ind w:firstLine="420"/>
        <w:jc w:val="both"/>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（一）售后服务要求：</w:t>
      </w:r>
    </w:p>
    <w:p w14:paraId="45847AC0">
      <w:pPr>
        <w:snapToGrid w:val="0"/>
        <w:spacing w:after="0"/>
        <w:ind w:firstLine="480" w:firstLineChars="20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投标人需提供的软件建设必须不少</w:t>
      </w:r>
      <w:r>
        <w:rPr>
          <w:rFonts w:hint="eastAsia" w:ascii="宋体" w:hAnsi="宋体"/>
          <w:color w:val="0000FF"/>
          <w:sz w:val="24"/>
          <w:szCs w:val="24"/>
          <w:highlight w:val="none"/>
          <w:lang w:eastAsia="zh-CN"/>
        </w:rPr>
        <w:t>于2年</w:t>
      </w:r>
      <w:r>
        <w:rPr>
          <w:rFonts w:hint="eastAsia" w:ascii="宋体" w:hAnsi="宋体"/>
          <w:color w:val="000000" w:themeColor="text1"/>
          <w:sz w:val="24"/>
          <w:szCs w:val="24"/>
          <w:highlight w:val="none"/>
          <w:lang w:eastAsia="zh-CN"/>
          <w14:textFill>
            <w14:solidFill>
              <w14:schemeClr w14:val="tx1"/>
            </w14:solidFill>
          </w14:textFill>
        </w:rPr>
        <w:t>的保修服务，硬件设施3年的保修服务，</w:t>
      </w:r>
      <w:r>
        <w:rPr>
          <w:rFonts w:ascii="宋体" w:hAnsi="宋体"/>
          <w:color w:val="000000" w:themeColor="text1"/>
          <w:sz w:val="24"/>
          <w:szCs w:val="24"/>
          <w:highlight w:val="none"/>
          <w:lang w:eastAsia="zh-CN"/>
          <w14:textFill>
            <w14:solidFill>
              <w14:schemeClr w14:val="tx1"/>
            </w14:solidFill>
          </w14:textFill>
        </w:rPr>
        <w:t>保修期和系统技术</w:t>
      </w:r>
      <w:r>
        <w:rPr>
          <w:rFonts w:hint="eastAsia" w:ascii="宋体" w:hAnsi="宋体"/>
          <w:color w:val="000000" w:themeColor="text1"/>
          <w:sz w:val="24"/>
          <w:szCs w:val="24"/>
          <w:highlight w:val="none"/>
          <w:lang w:eastAsia="zh-CN"/>
          <w14:textFill>
            <w14:solidFill>
              <w14:schemeClr w14:val="tx1"/>
            </w14:solidFill>
          </w14:textFill>
        </w:rPr>
        <w:t>自</w:t>
      </w:r>
      <w:r>
        <w:rPr>
          <w:rFonts w:ascii="宋体" w:hAnsi="宋体"/>
          <w:color w:val="000000" w:themeColor="text1"/>
          <w:sz w:val="24"/>
          <w:szCs w:val="24"/>
          <w:highlight w:val="none"/>
          <w:lang w:eastAsia="zh-CN"/>
          <w14:textFill>
            <w14:solidFill>
              <w14:schemeClr w14:val="tx1"/>
            </w14:solidFill>
          </w14:textFill>
        </w:rPr>
        <w:t>双方代表在</w:t>
      </w:r>
      <w:r>
        <w:rPr>
          <w:rFonts w:hint="eastAsia" w:ascii="宋体" w:hAnsi="宋体"/>
          <w:color w:val="000000" w:themeColor="text1"/>
          <w:sz w:val="24"/>
          <w:szCs w:val="24"/>
          <w:highlight w:val="none"/>
          <w:lang w:eastAsia="zh-CN"/>
          <w14:textFill>
            <w14:solidFill>
              <w14:schemeClr w14:val="tx1"/>
            </w14:solidFill>
          </w14:textFill>
        </w:rPr>
        <w:t>系统安装</w:t>
      </w:r>
      <w:r>
        <w:rPr>
          <w:rFonts w:ascii="宋体" w:hAnsi="宋体"/>
          <w:color w:val="000000" w:themeColor="text1"/>
          <w:sz w:val="24"/>
          <w:szCs w:val="24"/>
          <w:highlight w:val="none"/>
          <w:lang w:eastAsia="zh-CN"/>
          <w14:textFill>
            <w14:solidFill>
              <w14:schemeClr w14:val="tx1"/>
            </w14:solidFill>
          </w14:textFill>
        </w:rPr>
        <w:t>验收单上签字之日起计算。保修期内</w:t>
      </w:r>
      <w:r>
        <w:rPr>
          <w:rFonts w:hint="eastAsia" w:ascii="宋体" w:hAnsi="宋体"/>
          <w:color w:val="000000" w:themeColor="text1"/>
          <w:sz w:val="24"/>
          <w:szCs w:val="24"/>
          <w:highlight w:val="none"/>
          <w:lang w:eastAsia="zh-CN"/>
          <w14:textFill>
            <w14:solidFill>
              <w14:schemeClr w14:val="tx1"/>
            </w14:solidFill>
          </w14:textFill>
        </w:rPr>
        <w:t>所发生的一切费用包括系统技术需支持，系统维护或升级，人员交通，差旅服务等费用全部包含在中标价内。免费服务期满后，</w:t>
      </w:r>
      <w:r>
        <w:rPr>
          <w:rFonts w:hint="eastAsia" w:ascii="宋体" w:hAnsi="宋体"/>
          <w:color w:val="0000FF"/>
          <w:sz w:val="24"/>
          <w:szCs w:val="24"/>
          <w:highlight w:val="none"/>
          <w:lang w:eastAsia="zh-CN"/>
        </w:rPr>
        <w:t>每年的维护费为项目软件价格的</w:t>
      </w:r>
      <w:r>
        <w:rPr>
          <w:rFonts w:ascii="宋体" w:hAnsi="宋体"/>
          <w:color w:val="0000FF"/>
          <w:sz w:val="24"/>
          <w:szCs w:val="24"/>
          <w:highlight w:val="none"/>
          <w:lang w:eastAsia="zh-CN"/>
        </w:rPr>
        <w:t>8</w:t>
      </w:r>
      <w:r>
        <w:rPr>
          <w:rFonts w:hint="eastAsia" w:ascii="宋体" w:hAnsi="宋体"/>
          <w:color w:val="0000FF"/>
          <w:sz w:val="24"/>
          <w:szCs w:val="24"/>
          <w:highlight w:val="none"/>
          <w:lang w:eastAsia="zh-CN"/>
        </w:rPr>
        <w:t>%</w:t>
      </w:r>
      <w:r>
        <w:rPr>
          <w:rFonts w:hint="eastAsia" w:ascii="宋体" w:hAnsi="宋体"/>
          <w:color w:val="000000" w:themeColor="text1"/>
          <w:sz w:val="24"/>
          <w:szCs w:val="24"/>
          <w:highlight w:val="none"/>
          <w:lang w:eastAsia="zh-CN"/>
          <w14:textFill>
            <w14:solidFill>
              <w14:schemeClr w14:val="tx1"/>
            </w14:solidFill>
          </w14:textFill>
        </w:rPr>
        <w:t>。</w:t>
      </w:r>
    </w:p>
    <w:p w14:paraId="1FD2CD82">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(1)系统故障的响应时间：投标人必须需提供7*24小时技术需支持热线电话（固话</w:t>
      </w:r>
      <w:r>
        <w:rPr>
          <w:rFonts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eastAsia="zh-CN"/>
          <w14:textFill>
            <w14:solidFill>
              <w14:schemeClr w14:val="tx1"/>
            </w14:solidFill>
          </w14:textFill>
        </w:rPr>
        <w:t>手机。当发生故障时，自报障时起算，1小时内响应，若远程维护无法解决，投标人应及时安排人员前往现场处理故障。</w:t>
      </w:r>
    </w:p>
    <w:p w14:paraId="32D34980">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(2)维保期内，投标人向采购人需提供同版本的免费软件升级和维护服务；</w:t>
      </w:r>
    </w:p>
    <w:p w14:paraId="5128E708">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(3)维保期内，若因为政策变动而导致系统功能需要重建或者调整，则双方共同协商制订费用收取标准。</w:t>
      </w:r>
    </w:p>
    <w:p w14:paraId="3203FFFA">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（4）维保期内，投标人应提供完备的保障措施，保障系统的正常运行。</w:t>
      </w:r>
    </w:p>
    <w:p w14:paraId="496216F1">
      <w:pPr>
        <w:widowControl w:val="0"/>
        <w:tabs>
          <w:tab w:val="left" w:pos="851"/>
        </w:tabs>
        <w:snapToGrid w:val="0"/>
        <w:spacing w:after="0"/>
        <w:ind w:firstLine="420"/>
        <w:jc w:val="both"/>
        <w:rPr>
          <w:rFonts w:ascii="宋体" w:hAnsi="宋体"/>
          <w:b/>
          <w:bCs/>
          <w:color w:val="000000" w:themeColor="text1"/>
          <w:sz w:val="24"/>
          <w:szCs w:val="24"/>
          <w:highlight w:val="none"/>
          <w:lang w:eastAsia="zh-CN"/>
          <w14:textFill>
            <w14:solidFill>
              <w14:schemeClr w14:val="tx1"/>
            </w14:solidFill>
          </w14:textFill>
        </w:rPr>
      </w:pPr>
      <w:r>
        <w:rPr>
          <w:rFonts w:hint="eastAsia" w:ascii="宋体" w:hAnsi="宋体"/>
          <w:b/>
          <w:bCs/>
          <w:color w:val="000000" w:themeColor="text1"/>
          <w:sz w:val="24"/>
          <w:szCs w:val="24"/>
          <w:highlight w:val="none"/>
          <w:lang w:eastAsia="zh-CN"/>
          <w14:textFill>
            <w14:solidFill>
              <w14:schemeClr w14:val="tx1"/>
            </w14:solidFill>
          </w14:textFill>
        </w:rPr>
        <w:t>（二）培训要求</w:t>
      </w:r>
    </w:p>
    <w:p w14:paraId="783CBA01">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(1)所需提供的培训课程表随投标文件一起提交。</w:t>
      </w:r>
    </w:p>
    <w:p w14:paraId="5932576B">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(2)培训内容与课程要求：对系统的</w:t>
      </w:r>
      <w:r>
        <w:rPr>
          <w:rFonts w:ascii="宋体" w:hAnsi="宋体"/>
          <w:color w:val="000000" w:themeColor="text1"/>
          <w:sz w:val="24"/>
          <w:szCs w:val="24"/>
          <w:highlight w:val="none"/>
          <w:lang w:eastAsia="zh-CN"/>
          <w14:textFill>
            <w14:solidFill>
              <w14:schemeClr w14:val="tx1"/>
            </w14:solidFill>
          </w14:textFill>
        </w:rPr>
        <w:t>使用，操作，维</w:t>
      </w:r>
      <w:r>
        <w:rPr>
          <w:rFonts w:hint="eastAsia" w:ascii="宋体" w:hAnsi="宋体"/>
          <w:color w:val="000000" w:themeColor="text1"/>
          <w:sz w:val="24"/>
          <w:szCs w:val="24"/>
          <w:highlight w:val="none"/>
          <w:lang w:eastAsia="zh-CN"/>
          <w14:textFill>
            <w14:solidFill>
              <w14:schemeClr w14:val="tx1"/>
            </w14:solidFill>
          </w14:textFill>
        </w:rPr>
        <w:t>护</w:t>
      </w:r>
      <w:r>
        <w:rPr>
          <w:rFonts w:ascii="宋体" w:hAnsi="宋体"/>
          <w:color w:val="000000" w:themeColor="text1"/>
          <w:sz w:val="24"/>
          <w:szCs w:val="24"/>
          <w:highlight w:val="none"/>
          <w:lang w:eastAsia="zh-CN"/>
          <w14:textFill>
            <w14:solidFill>
              <w14:schemeClr w14:val="tx1"/>
            </w14:solidFill>
          </w14:textFill>
        </w:rPr>
        <w:t>进行培训，并</w:t>
      </w:r>
      <w:r>
        <w:rPr>
          <w:rFonts w:hint="eastAsia" w:ascii="宋体" w:hAnsi="宋体"/>
          <w:color w:val="000000" w:themeColor="text1"/>
          <w:sz w:val="24"/>
          <w:szCs w:val="24"/>
          <w:highlight w:val="none"/>
          <w:lang w:eastAsia="zh-CN"/>
          <w14:textFill>
            <w14:solidFill>
              <w14:schemeClr w14:val="tx1"/>
            </w14:solidFill>
          </w14:textFill>
        </w:rPr>
        <w:t>需提供</w:t>
      </w:r>
      <w:r>
        <w:rPr>
          <w:rFonts w:ascii="宋体" w:hAnsi="宋体"/>
          <w:color w:val="000000" w:themeColor="text1"/>
          <w:sz w:val="24"/>
          <w:szCs w:val="24"/>
          <w:highlight w:val="none"/>
          <w:lang w:eastAsia="zh-CN"/>
          <w14:textFill>
            <w14:solidFill>
              <w14:schemeClr w14:val="tx1"/>
            </w14:solidFill>
          </w14:textFill>
        </w:rPr>
        <w:t>安装使用维护说明书</w:t>
      </w:r>
      <w:r>
        <w:rPr>
          <w:rFonts w:hint="eastAsia" w:ascii="宋体" w:hAnsi="宋体"/>
          <w:color w:val="000000" w:themeColor="text1"/>
          <w:sz w:val="24"/>
          <w:szCs w:val="24"/>
          <w:highlight w:val="none"/>
          <w:lang w:eastAsia="zh-CN"/>
          <w14:textFill>
            <w14:solidFill>
              <w14:schemeClr w14:val="tx1"/>
            </w14:solidFill>
          </w14:textFill>
        </w:rPr>
        <w:t>，以确保采购人能够对系统有足够的了解和熟悉，能够独立进行系统的日常维护和管理。培训所需一切资料由中标商需提供。</w:t>
      </w:r>
    </w:p>
    <w:p w14:paraId="35489FDB">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(3)培训费用：培训过程中所发生的一切费用（含培训教材费）均包含在中标价内。</w:t>
      </w:r>
    </w:p>
    <w:p w14:paraId="3B37BA81">
      <w:pPr>
        <w:widowControl w:val="0"/>
        <w:tabs>
          <w:tab w:val="left" w:pos="709"/>
        </w:tabs>
        <w:snapToGrid w:val="0"/>
        <w:spacing w:after="0"/>
        <w:ind w:firstLine="420"/>
        <w:jc w:val="both"/>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（4）培训人员：要求培训应安排业务经验丰富的人员进行不低于2次的培训；</w:t>
      </w:r>
    </w:p>
    <w:p w14:paraId="723B79D2">
      <w:pPr>
        <w:widowControl w:val="0"/>
        <w:tabs>
          <w:tab w:val="left" w:pos="851"/>
        </w:tabs>
        <w:snapToGrid w:val="0"/>
        <w:spacing w:after="0"/>
        <w:ind w:firstLine="420"/>
        <w:jc w:val="both"/>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（三）工期要求及付款方式</w:t>
      </w:r>
    </w:p>
    <w:p w14:paraId="45BACA2B">
      <w:pPr>
        <w:widowControl w:val="0"/>
        <w:snapToGrid w:val="0"/>
        <w:spacing w:after="0"/>
        <w:jc w:val="both"/>
        <w:rPr>
          <w:rFonts w:ascii="宋体" w:hAnsi="宋体"/>
          <w:color w:val="000000" w:themeColor="text1"/>
          <w:sz w:val="24"/>
          <w:szCs w:val="24"/>
          <w:highlight w:val="none"/>
          <w:lang w:eastAsia="zh-CN"/>
          <w14:textFill>
            <w14:solidFill>
              <w14:schemeClr w14:val="tx1"/>
            </w14:solidFill>
          </w14:textFill>
        </w:rPr>
      </w:pPr>
      <w:r>
        <w:rPr>
          <w:rFonts w:ascii="宋体" w:hAnsi="宋体"/>
          <w:color w:val="000000" w:themeColor="text1"/>
          <w:sz w:val="24"/>
          <w:szCs w:val="24"/>
          <w:highlight w:val="none"/>
          <w:lang w:eastAsia="zh-CN"/>
          <w14:textFill>
            <w14:solidFill>
              <w14:schemeClr w14:val="tx1"/>
            </w14:solidFill>
          </w14:textFill>
        </w:rPr>
        <w:t>1、</w:t>
      </w:r>
      <w:r>
        <w:rPr>
          <w:rFonts w:hint="eastAsia" w:ascii="宋体" w:hAnsi="宋体"/>
          <w:color w:val="000000" w:themeColor="text1"/>
          <w:sz w:val="24"/>
          <w:szCs w:val="24"/>
          <w:highlight w:val="none"/>
          <w:lang w:eastAsia="zh-CN"/>
          <w14:textFill>
            <w14:solidFill>
              <w14:schemeClr w14:val="tx1"/>
            </w14:solidFill>
          </w14:textFill>
        </w:rPr>
        <w:t>工期：合同签订后</w:t>
      </w:r>
      <w:r>
        <w:rPr>
          <w:rFonts w:ascii="宋体" w:hAnsi="宋体"/>
          <w:color w:val="000000" w:themeColor="text1"/>
          <w:sz w:val="24"/>
          <w:szCs w:val="24"/>
          <w:highlight w:val="none"/>
          <w:lang w:eastAsia="zh-CN"/>
          <w14:textFill>
            <w14:solidFill>
              <w14:schemeClr w14:val="tx1"/>
            </w14:solidFill>
          </w14:textFill>
        </w:rPr>
        <w:t>90</w:t>
      </w:r>
      <w:r>
        <w:rPr>
          <w:rFonts w:hint="eastAsia" w:ascii="宋体" w:hAnsi="宋体"/>
          <w:color w:val="000000" w:themeColor="text1"/>
          <w:sz w:val="24"/>
          <w:szCs w:val="24"/>
          <w:highlight w:val="none"/>
          <w:lang w:eastAsia="zh-CN"/>
          <w14:textFill>
            <w14:solidFill>
              <w14:schemeClr w14:val="tx1"/>
            </w14:solidFill>
          </w14:textFill>
        </w:rPr>
        <w:t>个工作日内完成开发，实施和验收（该时间不包括等待第三方接口等非项目实施范围时间）。</w:t>
      </w:r>
    </w:p>
    <w:p w14:paraId="5DDBACE5">
      <w:pPr>
        <w:widowControl w:val="0"/>
        <w:snapToGrid w:val="0"/>
        <w:spacing w:after="0"/>
        <w:jc w:val="both"/>
        <w:rPr>
          <w:rFonts w:ascii="宋体" w:hAnsi="宋体"/>
          <w:color w:val="000000" w:themeColor="text1"/>
          <w:sz w:val="24"/>
          <w:szCs w:val="24"/>
          <w:highlight w:val="none"/>
          <w:lang w:eastAsia="zh-CN"/>
          <w14:textFill>
            <w14:solidFill>
              <w14:schemeClr w14:val="tx1"/>
            </w14:solidFill>
          </w14:textFill>
        </w:rPr>
      </w:pPr>
      <w:r>
        <w:rPr>
          <w:rFonts w:ascii="宋体" w:hAnsi="宋体"/>
          <w:color w:val="000000" w:themeColor="text1"/>
          <w:sz w:val="24"/>
          <w:szCs w:val="24"/>
          <w:highlight w:val="none"/>
          <w:lang w:eastAsia="zh-CN"/>
          <w14:textFill>
            <w14:solidFill>
              <w14:schemeClr w14:val="tx1"/>
            </w14:solidFill>
          </w14:textFill>
        </w:rPr>
        <w:t>2、</w:t>
      </w:r>
      <w:r>
        <w:rPr>
          <w:rFonts w:hint="eastAsia" w:ascii="宋体" w:hAnsi="宋体"/>
          <w:color w:val="000000" w:themeColor="text1"/>
          <w:sz w:val="24"/>
          <w:szCs w:val="24"/>
          <w:highlight w:val="none"/>
          <w:lang w:eastAsia="zh-CN"/>
          <w14:textFill>
            <w14:solidFill>
              <w14:schemeClr w14:val="tx1"/>
            </w14:solidFill>
          </w14:textFill>
        </w:rPr>
        <w:t>付款方式：</w:t>
      </w:r>
    </w:p>
    <w:p w14:paraId="638E35A1">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（1）合同生效后5个工作日内，凭中标人需提供的正式含税发票，采购人办理相关手续后，支付合同总额的</w:t>
      </w:r>
      <w:r>
        <w:rPr>
          <w:rFonts w:ascii="宋体" w:hAnsi="宋体"/>
          <w:color w:val="000000" w:themeColor="text1"/>
          <w:sz w:val="24"/>
          <w:szCs w:val="24"/>
          <w:highlight w:val="none"/>
          <w:lang w:eastAsia="zh-CN"/>
          <w14:textFill>
            <w14:solidFill>
              <w14:schemeClr w14:val="tx1"/>
            </w14:solidFill>
          </w14:textFill>
        </w:rPr>
        <w:t>4</w:t>
      </w:r>
      <w:r>
        <w:rPr>
          <w:rFonts w:hint="eastAsia" w:ascii="宋体" w:hAnsi="宋体"/>
          <w:color w:val="000000" w:themeColor="text1"/>
          <w:sz w:val="24"/>
          <w:szCs w:val="24"/>
          <w:highlight w:val="none"/>
          <w:lang w:eastAsia="zh-CN"/>
          <w14:textFill>
            <w14:solidFill>
              <w14:schemeClr w14:val="tx1"/>
            </w14:solidFill>
          </w14:textFill>
        </w:rPr>
        <w:t>0%；</w:t>
      </w:r>
    </w:p>
    <w:p w14:paraId="6B6F5671">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ascii="宋体" w:hAnsi="宋体"/>
          <w:color w:val="000000" w:themeColor="text1"/>
          <w:sz w:val="24"/>
          <w:szCs w:val="24"/>
          <w:highlight w:val="none"/>
          <w:lang w:eastAsia="zh-CN"/>
          <w14:textFill>
            <w14:solidFill>
              <w14:schemeClr w14:val="tx1"/>
            </w14:solidFill>
          </w14:textFill>
        </w:rPr>
        <w:t>2</w:t>
      </w:r>
      <w:r>
        <w:rPr>
          <w:rFonts w:hint="eastAsia" w:ascii="宋体" w:hAnsi="宋体"/>
          <w:color w:val="000000" w:themeColor="text1"/>
          <w:sz w:val="24"/>
          <w:szCs w:val="24"/>
          <w:highlight w:val="none"/>
          <w:lang w:eastAsia="zh-CN"/>
          <w14:textFill>
            <w14:solidFill>
              <w14:schemeClr w14:val="tx1"/>
            </w14:solidFill>
          </w14:textFill>
        </w:rPr>
        <w:t>）系统成功上线后5个工作日内，凭中标人需提供的正式含税发票，采购人办理相关手续后，支付合同总额的</w:t>
      </w:r>
      <w:r>
        <w:rPr>
          <w:rFonts w:ascii="宋体" w:hAnsi="宋体"/>
          <w:color w:val="000000" w:themeColor="text1"/>
          <w:sz w:val="24"/>
          <w:szCs w:val="24"/>
          <w:highlight w:val="none"/>
          <w:lang w:eastAsia="zh-CN"/>
          <w14:textFill>
            <w14:solidFill>
              <w14:schemeClr w14:val="tx1"/>
            </w14:solidFill>
          </w14:textFill>
        </w:rPr>
        <w:t>30</w:t>
      </w:r>
      <w:r>
        <w:rPr>
          <w:rFonts w:hint="eastAsia" w:ascii="宋体" w:hAnsi="宋体"/>
          <w:color w:val="000000" w:themeColor="text1"/>
          <w:sz w:val="24"/>
          <w:szCs w:val="24"/>
          <w:highlight w:val="none"/>
          <w:lang w:eastAsia="zh-CN"/>
          <w14:textFill>
            <w14:solidFill>
              <w14:schemeClr w14:val="tx1"/>
            </w14:solidFill>
          </w14:textFill>
        </w:rPr>
        <w:t>%；</w:t>
      </w:r>
    </w:p>
    <w:p w14:paraId="442FAEFA">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（3）项目通过整体验收合格后5个工作日内，凭中标人需提供的正式含税发票，采购人办理相关手续后，支付合同总额的</w:t>
      </w:r>
      <w:r>
        <w:rPr>
          <w:rFonts w:ascii="宋体" w:hAnsi="宋体"/>
          <w:color w:val="000000" w:themeColor="text1"/>
          <w:sz w:val="24"/>
          <w:szCs w:val="24"/>
          <w:highlight w:val="none"/>
          <w:lang w:eastAsia="zh-CN"/>
          <w14:textFill>
            <w14:solidFill>
              <w14:schemeClr w14:val="tx1"/>
            </w14:solidFill>
          </w14:textFill>
        </w:rPr>
        <w:t>25</w:t>
      </w:r>
      <w:r>
        <w:rPr>
          <w:rFonts w:hint="eastAsia" w:ascii="宋体" w:hAnsi="宋体"/>
          <w:color w:val="000000" w:themeColor="text1"/>
          <w:sz w:val="24"/>
          <w:szCs w:val="24"/>
          <w:highlight w:val="none"/>
          <w:lang w:eastAsia="zh-CN"/>
          <w14:textFill>
            <w14:solidFill>
              <w14:schemeClr w14:val="tx1"/>
            </w14:solidFill>
          </w14:textFill>
        </w:rPr>
        <w:t>%；</w:t>
      </w:r>
    </w:p>
    <w:p w14:paraId="04B0CE8F">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ascii="宋体" w:hAnsi="宋体"/>
          <w:color w:val="000000" w:themeColor="text1"/>
          <w:sz w:val="24"/>
          <w:szCs w:val="24"/>
          <w:highlight w:val="none"/>
          <w:lang w:eastAsia="zh-CN"/>
          <w14:textFill>
            <w14:solidFill>
              <w14:schemeClr w14:val="tx1"/>
            </w14:solidFill>
          </w14:textFill>
        </w:rPr>
        <w:t>4</w:t>
      </w:r>
      <w:r>
        <w:rPr>
          <w:rFonts w:hint="eastAsia" w:ascii="宋体" w:hAnsi="宋体"/>
          <w:color w:val="000000" w:themeColor="text1"/>
          <w:sz w:val="24"/>
          <w:szCs w:val="24"/>
          <w:highlight w:val="none"/>
          <w:lang w:eastAsia="zh-CN"/>
          <w14:textFill>
            <w14:solidFill>
              <w14:schemeClr w14:val="tx1"/>
            </w14:solidFill>
          </w14:textFill>
        </w:rPr>
        <w:t>）项目质量保证期届满后，凭中标人需提供的正式含税发票，采购人办理相关手续后，支付合同总额的</w:t>
      </w:r>
      <w:r>
        <w:rPr>
          <w:rFonts w:ascii="宋体" w:hAnsi="宋体"/>
          <w:color w:val="000000" w:themeColor="text1"/>
          <w:sz w:val="24"/>
          <w:szCs w:val="24"/>
          <w:highlight w:val="none"/>
          <w:lang w:eastAsia="zh-CN"/>
          <w14:textFill>
            <w14:solidFill>
              <w14:schemeClr w14:val="tx1"/>
            </w14:solidFill>
          </w14:textFill>
        </w:rPr>
        <w:t>5</w:t>
      </w:r>
      <w:r>
        <w:rPr>
          <w:rFonts w:hint="eastAsia" w:ascii="宋体" w:hAnsi="宋体"/>
          <w:color w:val="000000" w:themeColor="text1"/>
          <w:sz w:val="24"/>
          <w:szCs w:val="24"/>
          <w:highlight w:val="none"/>
          <w:lang w:eastAsia="zh-CN"/>
          <w14:textFill>
            <w14:solidFill>
              <w14:schemeClr w14:val="tx1"/>
            </w14:solidFill>
          </w14:textFill>
        </w:rPr>
        <w:t>%。</w:t>
      </w:r>
    </w:p>
    <w:p w14:paraId="14A8DDC2">
      <w:pPr>
        <w:pStyle w:val="11"/>
        <w:spacing w:line="360" w:lineRule="auto"/>
        <w:ind w:firstLine="480"/>
        <w:jc w:val="both"/>
        <w:rPr>
          <w:rFonts w:hint="default" w:ascii="宋体" w:hAnsi="宋体" w:eastAsia="宋体"/>
          <w:sz w:val="24"/>
          <w:szCs w:val="24"/>
          <w:highlight w:val="none"/>
        </w:rPr>
      </w:pPr>
      <w:r>
        <w:rPr>
          <w:rFonts w:ascii="宋体" w:hAnsi="宋体" w:eastAsia="宋体"/>
          <w:sz w:val="24"/>
          <w:szCs w:val="24"/>
          <w:highlight w:val="none"/>
          <w:shd w:val="clear" w:color="auto" w:fill="FFFFFF"/>
        </w:rPr>
        <w:t>以上支付时间和金额，最终以实际支付时间为准。为方便查帐和后续备案工作，原则上要求只开具一张全票发票。（</w:t>
      </w:r>
      <w:r>
        <w:rPr>
          <w:rFonts w:ascii="宋体" w:hAnsi="宋体" w:eastAsia="宋体"/>
          <w:sz w:val="24"/>
          <w:szCs w:val="24"/>
          <w:highlight w:val="none"/>
          <w:shd w:val="clear" w:color="auto" w:fill="FFFFFF"/>
          <w:lang w:eastAsia="zh-CN"/>
        </w:rPr>
        <w:t>甲方应</w:t>
      </w:r>
      <w:r>
        <w:rPr>
          <w:rFonts w:ascii="宋体" w:hAnsi="宋体" w:eastAsia="宋体"/>
          <w:sz w:val="24"/>
          <w:szCs w:val="24"/>
          <w:highlight w:val="none"/>
          <w:shd w:val="clear" w:color="auto" w:fill="FFFFFF"/>
        </w:rPr>
        <w:t>在前款规定的付款时间向政府采购支付部门提出办理财政支付申请手续的时间（不含政府财政支付部门审核的时间），在规定时间内提出支付申请手续后即视为</w:t>
      </w:r>
      <w:r>
        <w:rPr>
          <w:rFonts w:ascii="宋体" w:hAnsi="宋体" w:eastAsia="宋体"/>
          <w:sz w:val="24"/>
          <w:szCs w:val="24"/>
          <w:highlight w:val="none"/>
          <w:shd w:val="clear" w:color="auto" w:fill="FFFFFF"/>
          <w:lang w:eastAsia="zh-CN"/>
        </w:rPr>
        <w:t>甲方</w:t>
      </w:r>
      <w:r>
        <w:rPr>
          <w:rFonts w:ascii="宋体" w:hAnsi="宋体" w:eastAsia="宋体"/>
          <w:sz w:val="24"/>
          <w:szCs w:val="24"/>
          <w:highlight w:val="none"/>
          <w:shd w:val="clear" w:color="auto" w:fill="FFFFFF"/>
        </w:rPr>
        <w:t>已经按期支付。）</w:t>
      </w:r>
    </w:p>
    <w:p w14:paraId="3EB710CF">
      <w:pPr>
        <w:pStyle w:val="7"/>
        <w:rPr>
          <w:highlight w:val="none"/>
        </w:rPr>
      </w:pPr>
    </w:p>
    <w:p w14:paraId="24B9F5AB">
      <w:pPr>
        <w:widowControl w:val="0"/>
        <w:tabs>
          <w:tab w:val="left" w:pos="851"/>
        </w:tabs>
        <w:snapToGrid w:val="0"/>
        <w:spacing w:after="0"/>
        <w:ind w:firstLine="420"/>
        <w:jc w:val="both"/>
        <w:rPr>
          <w:rFonts w:ascii="宋体" w:hAnsi="宋体"/>
          <w:b/>
          <w:bCs/>
          <w:color w:val="000000" w:themeColor="text1"/>
          <w:sz w:val="24"/>
          <w:szCs w:val="24"/>
          <w:highlight w:val="none"/>
          <w:lang w:eastAsia="zh-CN"/>
          <w14:textFill>
            <w14:solidFill>
              <w14:schemeClr w14:val="tx1"/>
            </w14:solidFill>
          </w14:textFill>
        </w:rPr>
      </w:pPr>
      <w:r>
        <w:rPr>
          <w:rFonts w:hint="eastAsia" w:ascii="宋体" w:hAnsi="宋体"/>
          <w:b/>
          <w:bCs/>
          <w:color w:val="000000" w:themeColor="text1"/>
          <w:sz w:val="24"/>
          <w:szCs w:val="24"/>
          <w:highlight w:val="none"/>
          <w:lang w:eastAsia="zh-CN"/>
          <w14:textFill>
            <w14:solidFill>
              <w14:schemeClr w14:val="tx1"/>
            </w14:solidFill>
          </w14:textFill>
        </w:rPr>
        <w:t>（四）</w:t>
      </w:r>
      <w:r>
        <w:rPr>
          <w:rFonts w:ascii="宋体" w:hAnsi="宋体"/>
          <w:b/>
          <w:bCs/>
          <w:color w:val="000000" w:themeColor="text1"/>
          <w:sz w:val="24"/>
          <w:szCs w:val="24"/>
          <w:highlight w:val="none"/>
          <w:lang w:eastAsia="zh-CN"/>
          <w14:textFill>
            <w14:solidFill>
              <w14:schemeClr w14:val="tx1"/>
            </w14:solidFill>
          </w14:textFill>
        </w:rPr>
        <w:t>验收要求</w:t>
      </w:r>
    </w:p>
    <w:p w14:paraId="0D6CF20E">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1)</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验收按国家，行业有关的规定，规范进行。</w:t>
      </w:r>
    </w:p>
    <w:p w14:paraId="3D0CB40F">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2)</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系统测试要求：中标人要对系统实际运行情况进行测试。</w:t>
      </w:r>
    </w:p>
    <w:p w14:paraId="62FAB893">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3)</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软件系统的验收属于项目的合同验收，需符合广东省信息化项目相关验收管理办法的要求，同时需符合下列要求：</w:t>
      </w:r>
    </w:p>
    <w:p w14:paraId="2F30F056">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a.</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满足合同和招标文件中列举的全部要求。</w:t>
      </w:r>
    </w:p>
    <w:p w14:paraId="5A03EB6B">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b.</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实现合同和招标文件中列举的全部功能要求。</w:t>
      </w:r>
    </w:p>
    <w:p w14:paraId="5534EC0A">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c.</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达到合同和招标文件中列举的全部指标。</w:t>
      </w:r>
    </w:p>
    <w:p w14:paraId="6E8A3124">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d.</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文档齐全，符合合同和招标文件及相关标准要求，包括但不限于下列文档：需求说明书，设计说明书，数据库设计说明书，用户培训计划等。</w:t>
      </w:r>
    </w:p>
    <w:p w14:paraId="1986C84B">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4)</w:t>
      </w:r>
      <w:r>
        <w:rPr>
          <w:rFonts w:hint="eastAsia" w:ascii="宋体" w:hAnsi="宋体"/>
          <w:color w:val="000000" w:themeColor="text1"/>
          <w:sz w:val="24"/>
          <w:szCs w:val="24"/>
          <w:highlight w:val="none"/>
          <w:lang w:eastAsia="zh-CN"/>
          <w14:textFill>
            <w14:solidFill>
              <w14:schemeClr w14:val="tx1"/>
            </w14:solidFill>
          </w14:textFill>
        </w:rPr>
        <w:tab/>
      </w:r>
      <w:r>
        <w:rPr>
          <w:rFonts w:hint="eastAsia" w:ascii="宋体" w:hAnsi="宋体"/>
          <w:color w:val="000000" w:themeColor="text1"/>
          <w:sz w:val="24"/>
          <w:szCs w:val="24"/>
          <w:highlight w:val="none"/>
          <w:lang w:eastAsia="zh-CN"/>
          <w14:textFill>
            <w14:solidFill>
              <w14:schemeClr w14:val="tx1"/>
            </w14:solidFill>
          </w14:textFill>
        </w:rPr>
        <w:t>验收项目包括按照合同和招标文件中所标明的软件系统，相关的技术维护文档，培训教材，使用说明书等。</w:t>
      </w:r>
    </w:p>
    <w:p w14:paraId="7031B276">
      <w:pPr>
        <w:pStyle w:val="7"/>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（五）人员要求</w:t>
      </w:r>
    </w:p>
    <w:p w14:paraId="0A10D0F7">
      <w:pPr>
        <w:snapToGrid w:val="0"/>
        <w:spacing w:after="0"/>
        <w:ind w:firstLine="420"/>
        <w:rPr>
          <w:rFonts w:ascii="宋体" w:hAnsi="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中标供应商需根据招标文件要求组建项目小组，项目成员不能少于3人，承担施工任务，要求在接口联调、系统上线、系统验收等关键阶段至少提供1名至少有两年医院信息化系统项目建设实施经验的专职技术人员全职驻场服务，负责与采购人及中标供应商团队开发人员的沟通和衔接（要求提供承诺函，加盖投标人公章）。</w:t>
      </w:r>
    </w:p>
    <w:p w14:paraId="3E48CE0F">
      <w:pPr>
        <w:rPr>
          <w:color w:val="000000" w:themeColor="text1"/>
          <w:sz w:val="24"/>
          <w:szCs w:val="24"/>
          <w:highlight w:val="none"/>
          <w:lang w:eastAsia="zh-Hans"/>
          <w14:textFill>
            <w14:solidFill>
              <w14:schemeClr w14:val="tx1"/>
            </w14:solidFill>
          </w14:textFill>
        </w:rPr>
      </w:pPr>
      <w:r>
        <w:rPr>
          <w:rFonts w:hint="eastAsia"/>
          <w:color w:val="000000" w:themeColor="text1"/>
          <w:sz w:val="24"/>
          <w:szCs w:val="24"/>
          <w:highlight w:val="none"/>
          <w:lang w:eastAsia="zh-Hans"/>
          <w14:textFill>
            <w14:solidFill>
              <w14:schemeClr w14:val="tx1"/>
            </w14:solidFill>
          </w14:textFill>
        </w:rPr>
        <w:t>（六）实施要求</w:t>
      </w:r>
    </w:p>
    <w:p w14:paraId="094C8A3B">
      <w:pPr>
        <w:rPr>
          <w:color w:val="000000" w:themeColor="text1"/>
          <w:sz w:val="24"/>
          <w:szCs w:val="24"/>
          <w:highlight w:val="none"/>
          <w:lang w:eastAsia="zh-Hans"/>
          <w14:textFill>
            <w14:solidFill>
              <w14:schemeClr w14:val="tx1"/>
            </w14:solidFill>
          </w14:textFill>
        </w:rPr>
      </w:pPr>
      <w:r>
        <w:rPr>
          <w:rFonts w:hint="eastAsia"/>
          <w:color w:val="000000" w:themeColor="text1"/>
          <w:sz w:val="24"/>
          <w:szCs w:val="24"/>
          <w:highlight w:val="none"/>
          <w:lang w:eastAsia="zh-Hans"/>
          <w14:textFill>
            <w14:solidFill>
              <w14:schemeClr w14:val="tx1"/>
            </w14:solidFill>
          </w14:textFill>
        </w:rPr>
        <w:t xml:space="preserve">     中标供应商应根据招标文件要求制订详细的实施计划，提供完备的项目质控方案和风险保障方案，保障项目保质保量完成。</w:t>
      </w:r>
    </w:p>
    <w:p w14:paraId="4C11D11D">
      <w:pPr>
        <w:pStyle w:val="16"/>
        <w:spacing w:line="360" w:lineRule="auto"/>
        <w:ind w:firstLine="482" w:firstLineChars="200"/>
        <w:jc w:val="left"/>
        <w:outlineLvl w:val="1"/>
        <w:rPr>
          <w:rFonts w:ascii="宋体" w:hAnsi="宋体"/>
          <w:b/>
          <w:sz w:val="24"/>
          <w:szCs w:val="24"/>
          <w:highlight w:val="none"/>
        </w:rPr>
      </w:pPr>
      <w:r>
        <w:rPr>
          <w:rFonts w:hint="eastAsia" w:ascii="宋体" w:hAnsi="宋体"/>
          <w:b/>
          <w:sz w:val="24"/>
          <w:szCs w:val="24"/>
          <w:highlight w:val="none"/>
        </w:rPr>
        <w:t>原型演示要求</w:t>
      </w:r>
    </w:p>
    <w:p w14:paraId="2184F2C0">
      <w:pPr>
        <w:pStyle w:val="17"/>
        <w:spacing w:line="400" w:lineRule="atLeast"/>
        <w:ind w:firstLine="567"/>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本项目要求在评审过程中进行系统演示，建议供应商在投标文件（首次响应文件）解密时间截止后1小时内到达等候地点（广州市天河区天润路333号广州交易集团有限公司（广州公共资源交易中心）4楼中庭洽谈区）等候。系统演示开始时间由评审委员会确定，如供应商未在评审委员会规定的时间内到达系统演示地点进行系统演示，评审委员会有权视其放弃系统演示。</w:t>
      </w:r>
    </w:p>
    <w:p w14:paraId="27AEAE2C">
      <w:pPr>
        <w:pStyle w:val="17"/>
        <w:spacing w:line="400" w:lineRule="atLeast"/>
        <w:ind w:firstLine="480" w:firstLineChars="200"/>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（一）本项目由有效投标人于评标过程中进行系统演示，请投标人自行准备相关文件。</w:t>
      </w:r>
    </w:p>
    <w:p w14:paraId="26488F8B">
      <w:pPr>
        <w:pStyle w:val="17"/>
        <w:spacing w:line="400" w:lineRule="atLeast"/>
        <w:ind w:firstLine="567"/>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（二）授权委托代理人须凭身份证原件参加系统演示，参加人数不超过3人（含授权委托代理人在内）。</w:t>
      </w:r>
    </w:p>
    <w:p w14:paraId="13EBFB72">
      <w:pPr>
        <w:pStyle w:val="17"/>
        <w:spacing w:line="400" w:lineRule="atLeast"/>
        <w:ind w:firstLine="567"/>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（三）如系统演示过程中需要用到电脑等设备（设备不能共用），请投标人自带，评标现场仅提供电源和投影设备。</w:t>
      </w:r>
    </w:p>
    <w:p w14:paraId="6EDD531F">
      <w:pPr>
        <w:pStyle w:val="17"/>
        <w:spacing w:line="400" w:lineRule="atLeast"/>
        <w:ind w:firstLine="567"/>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（四）系统演示时间约10分钟。</w:t>
      </w:r>
    </w:p>
    <w:p w14:paraId="271ABBEF">
      <w:pPr>
        <w:pStyle w:val="17"/>
        <w:spacing w:line="400" w:lineRule="atLeast"/>
        <w:ind w:firstLine="567"/>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（五）投标人/供应商的系统演示等顺序按《开标一览表》的顺序进行。</w:t>
      </w:r>
    </w:p>
    <w:p w14:paraId="7C725785">
      <w:pPr>
        <w:pStyle w:val="17"/>
        <w:spacing w:line="400" w:lineRule="atLeast"/>
        <w:ind w:firstLine="567"/>
        <w:rPr>
          <w:rFonts w:ascii="宋体" w:hAnsi="宋体" w:cs="宋体"/>
          <w:color w:val="000000"/>
          <w:sz w:val="24"/>
          <w:highlight w:val="none"/>
        </w:rPr>
      </w:pPr>
      <w:r>
        <w:rPr>
          <w:rFonts w:hint="eastAsia" w:ascii="宋体" w:hAnsi="宋体" w:cs="宋体"/>
          <w:color w:val="000000"/>
          <w:sz w:val="24"/>
          <w:highlight w:val="none"/>
          <w:lang w:val="en-US" w:eastAsia="zh-CN"/>
        </w:rPr>
        <w:t>（六）系统演示内容</w:t>
      </w:r>
      <w:r>
        <w:rPr>
          <w:rFonts w:hint="eastAsia" w:ascii="宋体" w:hAnsi="宋体" w:cs="宋体"/>
          <w:color w:val="000000"/>
          <w:sz w:val="24"/>
          <w:highlight w:val="none"/>
        </w:rPr>
        <w:t>如下：</w:t>
      </w:r>
    </w:p>
    <w:p w14:paraId="520AE9F6">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1.支持通过可视化界面方式设置工作流，系统应提供丰富的组件库，包括离线同步、Shell、Python、Http、Spark、MapReduce等节点组件，通过拖拉的方式即可实现对采集工作流的设置；</w:t>
      </w:r>
    </w:p>
    <w:p w14:paraId="5F8B7F14">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2.异动处理：数据接口发生变动，源头表自动更新表结构，并保留处理记录；</w:t>
      </w:r>
    </w:p>
    <w:p w14:paraId="7CDABADC">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3.根据数据处理脚本，可自动解析字段级别的血缘关系，直观呈现表和表之间的血缘关系以及每个字段的处理步骤；</w:t>
      </w:r>
    </w:p>
    <w:p w14:paraId="308DAD93">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4.数据资源全局监控，包括全局数据资源访问量、各数据看板、大屏、图表访问量，对数据资源访问量、访问次数进行汇总统计，形成统计结果排名；</w:t>
      </w:r>
    </w:p>
    <w:p w14:paraId="1F64FB05">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5.分值计算公式调整：系统需提供一个界面，允许管理员进行分值计算公式的调整。需支持管理员根据实际需求，自定义分值计算公式，包括各项指标采用的算法等。根据本地不用的分值结算标准和政策，灵活地调整分值计算方法，确保分值的准确性和合理性；</w:t>
      </w:r>
    </w:p>
    <w:p w14:paraId="38B1CD86">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6.基于质控问题对结算清单问题进行统计，展示随着时间的发展趋势，我院历史质控问题的数量和种类的变化趋势；</w:t>
      </w:r>
    </w:p>
    <w:p w14:paraId="0E051A87">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7.支持以时间轴的方式，将每份结算清单历次的状态、修改人、修改时间、修改审核意见等进行整理，对问题留痕；</w:t>
      </w:r>
    </w:p>
    <w:p w14:paraId="299D9A0B">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8.可直接通过拖拉方式设置整条规则的逻辑流程，包括规则的起始、约束条件的先后顺序、约束条件的走向、规则的完成</w:t>
      </w:r>
    </w:p>
    <w:p w14:paraId="32587A76">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9.支持对违规项目的总览，展示项目的提醒人数和修改人数，对重点项目的拦截率进行统计展示，如项目依存-拦截率、限性别使用-拦截率等；</w:t>
      </w:r>
    </w:p>
    <w:p w14:paraId="0A3712FA">
      <w:pPr>
        <w:pStyle w:val="17"/>
        <w:spacing w:line="400" w:lineRule="atLeast"/>
        <w:ind w:firstLine="564" w:firstLineChars="235"/>
        <w:rPr>
          <w:rFonts w:ascii="宋体" w:hAnsi="宋体" w:cs="宋体"/>
          <w:color w:val="000000"/>
          <w:sz w:val="24"/>
          <w:highlight w:val="none"/>
        </w:rPr>
      </w:pPr>
      <w:r>
        <w:rPr>
          <w:rFonts w:hint="eastAsia" w:ascii="宋体" w:hAnsi="宋体" w:cs="宋体"/>
          <w:color w:val="000000"/>
          <w:sz w:val="24"/>
          <w:highlight w:val="none"/>
        </w:rPr>
        <w:t>10.提供广东省政策查询小程序，可随时查看广东省各地医保结算政策及常见问题</w:t>
      </w:r>
    </w:p>
    <w:p w14:paraId="5DDA5B0B">
      <w:pPr>
        <w:pStyle w:val="17"/>
        <w:spacing w:line="400" w:lineRule="atLeast"/>
        <w:ind w:firstLine="567"/>
        <w:rPr>
          <w:rFonts w:ascii="宋体" w:hAnsi="宋体" w:cs="宋体"/>
          <w:color w:val="000000"/>
          <w:sz w:val="24"/>
          <w:highlight w:val="none"/>
        </w:rPr>
      </w:pPr>
    </w:p>
    <w:p w14:paraId="2984CF7B">
      <w:pPr>
        <w:rPr>
          <w:rFonts w:ascii="宋体" w:hAnsi="宋体" w:cs="宋体"/>
          <w:sz w:val="24"/>
          <w:szCs w:val="24"/>
          <w:highlight w:val="none"/>
          <w:lang w:eastAsia="zh-CN"/>
        </w:rPr>
      </w:pPr>
      <w:r>
        <w:rPr>
          <w:rFonts w:hint="eastAsia" w:ascii="宋体" w:hAnsi="宋体" w:cs="宋体"/>
          <w:sz w:val="24"/>
          <w:szCs w:val="24"/>
          <w:highlight w:val="none"/>
          <w:lang w:eastAsia="zh-CN"/>
        </w:rPr>
        <w:br w:type="page"/>
      </w:r>
    </w:p>
    <w:p w14:paraId="4BEE4614">
      <w:bookmarkStart w:id="31" w:name="_GoBack"/>
      <w:bookmarkEnd w:id="3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Noto Sans CJK JP Regular">
    <w:altName w:val="微软雅黑"/>
    <w:panose1 w:val="00000000000000000000"/>
    <w:charset w:val="00"/>
    <w:family w:val="swiss"/>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05559D"/>
    <w:multiLevelType w:val="multilevel"/>
    <w:tmpl w:val="4E05559D"/>
    <w:lvl w:ilvl="0" w:tentative="0">
      <w:start w:val="1"/>
      <w:numFmt w:val="chineseCountingThousand"/>
      <w:pStyle w:val="2"/>
      <w:lvlText w:val="%1、"/>
      <w:lvlJc w:val="left"/>
      <w:pPr>
        <w:ind w:left="425" w:hanging="425"/>
      </w:pPr>
      <w:rPr>
        <w:rFonts w:hint="eastAsia"/>
      </w:rPr>
    </w:lvl>
    <w:lvl w:ilvl="1" w:tentative="0">
      <w:start w:val="1"/>
      <w:numFmt w:val="decimal"/>
      <w:pStyle w:val="3"/>
      <w:isLgl/>
      <w:lvlText w:val="%1.%2"/>
      <w:lvlJc w:val="left"/>
      <w:pPr>
        <w:ind w:left="0" w:firstLine="0"/>
      </w:pPr>
      <w:rPr>
        <w:rFonts w:hint="eastAsia"/>
        <w:sz w:val="28"/>
        <w:szCs w:val="28"/>
      </w:rPr>
    </w:lvl>
    <w:lvl w:ilvl="2" w:tentative="0">
      <w:start w:val="1"/>
      <w:numFmt w:val="decimal"/>
      <w:pStyle w:val="4"/>
      <w:isLgl/>
      <w:lvlText w:val="%1.%2.%3"/>
      <w:lvlJc w:val="left"/>
      <w:pPr>
        <w:ind w:left="0" w:firstLine="0"/>
      </w:pPr>
      <w:rPr>
        <w:rFonts w:hint="eastAsia"/>
        <w:sz w:val="28"/>
        <w:szCs w:val="32"/>
      </w:rPr>
    </w:lvl>
    <w:lvl w:ilvl="3" w:tentative="0">
      <w:start w:val="1"/>
      <w:numFmt w:val="decimal"/>
      <w:pStyle w:val="5"/>
      <w:isLgl/>
      <w:lvlText w:val="%1.%2.%3.%4"/>
      <w:lvlJc w:val="left"/>
      <w:pPr>
        <w:ind w:left="0" w:firstLine="0"/>
      </w:pPr>
      <w:rPr>
        <w:rFonts w:hint="eastAsia"/>
      </w:rPr>
    </w:lvl>
    <w:lvl w:ilvl="4" w:tentative="0">
      <w:start w:val="1"/>
      <w:numFmt w:val="decimal"/>
      <w:isLgl/>
      <w:lvlText w:val="%1.%2.%3.%4.%5"/>
      <w:lvlJc w:val="left"/>
      <w:pPr>
        <w:ind w:left="2551" w:hanging="85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5" w:tentative="0">
      <w:start w:val="1"/>
      <w:numFmt w:val="decimal"/>
      <w:isLgl/>
      <w:lvlText w:val="%1.%2.%3.%4.%5.%6"/>
      <w:lvlJc w:val="left"/>
      <w:pPr>
        <w:ind w:left="3260" w:hanging="1134"/>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6" w:tentative="0">
      <w:start w:val="1"/>
      <w:numFmt w:val="decimal"/>
      <w:isLgl/>
      <w:lvlText w:val="%1.%2.%3.%4.%5.%6.%7"/>
      <w:lvlJc w:val="left"/>
      <w:pPr>
        <w:ind w:left="3827" w:hanging="1276"/>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2MDdmMWJhZTM5ZTFiNDc4OTNmMWM0ZTQxMDcwZjkifQ=="/>
  </w:docVars>
  <w:rsids>
    <w:rsidRoot w:val="1D167BB0"/>
    <w:rsid w:val="003D1C14"/>
    <w:rsid w:val="007C617A"/>
    <w:rsid w:val="009E1753"/>
    <w:rsid w:val="015562B7"/>
    <w:rsid w:val="019F5901"/>
    <w:rsid w:val="01D67DC1"/>
    <w:rsid w:val="02824480"/>
    <w:rsid w:val="02F301B1"/>
    <w:rsid w:val="031F580F"/>
    <w:rsid w:val="03397088"/>
    <w:rsid w:val="03F84712"/>
    <w:rsid w:val="040C1343"/>
    <w:rsid w:val="050012D8"/>
    <w:rsid w:val="05AE19F2"/>
    <w:rsid w:val="05FC74AD"/>
    <w:rsid w:val="067044D6"/>
    <w:rsid w:val="06C37191"/>
    <w:rsid w:val="07061848"/>
    <w:rsid w:val="07227539"/>
    <w:rsid w:val="074F7D22"/>
    <w:rsid w:val="076C513D"/>
    <w:rsid w:val="07CC71E1"/>
    <w:rsid w:val="07D772F8"/>
    <w:rsid w:val="086A51A5"/>
    <w:rsid w:val="0940181A"/>
    <w:rsid w:val="0A100CCF"/>
    <w:rsid w:val="0A320D05"/>
    <w:rsid w:val="0A4108E6"/>
    <w:rsid w:val="0A4F56F6"/>
    <w:rsid w:val="0A747B6B"/>
    <w:rsid w:val="0A9E44AC"/>
    <w:rsid w:val="0AC819B0"/>
    <w:rsid w:val="0AD01F2E"/>
    <w:rsid w:val="0B02240C"/>
    <w:rsid w:val="0B4551EF"/>
    <w:rsid w:val="0B6A7333"/>
    <w:rsid w:val="0C371790"/>
    <w:rsid w:val="0C723858"/>
    <w:rsid w:val="0DDC108E"/>
    <w:rsid w:val="0DDD4B9F"/>
    <w:rsid w:val="0F6B44B0"/>
    <w:rsid w:val="0F9D49CF"/>
    <w:rsid w:val="0FC651EF"/>
    <w:rsid w:val="100643E9"/>
    <w:rsid w:val="10152930"/>
    <w:rsid w:val="10717B79"/>
    <w:rsid w:val="10BD1D21"/>
    <w:rsid w:val="10C44D8E"/>
    <w:rsid w:val="11A07D07"/>
    <w:rsid w:val="11EB0698"/>
    <w:rsid w:val="1241670C"/>
    <w:rsid w:val="12624D47"/>
    <w:rsid w:val="144D20E5"/>
    <w:rsid w:val="14745F1A"/>
    <w:rsid w:val="1522370E"/>
    <w:rsid w:val="15666B96"/>
    <w:rsid w:val="16033DDE"/>
    <w:rsid w:val="160631FD"/>
    <w:rsid w:val="16F95C58"/>
    <w:rsid w:val="170B0A8B"/>
    <w:rsid w:val="17CA0C8D"/>
    <w:rsid w:val="17CF77F7"/>
    <w:rsid w:val="182B7961"/>
    <w:rsid w:val="183654EB"/>
    <w:rsid w:val="185A3439"/>
    <w:rsid w:val="18D954CC"/>
    <w:rsid w:val="19924F6D"/>
    <w:rsid w:val="19DC5908"/>
    <w:rsid w:val="1A436F5B"/>
    <w:rsid w:val="1A775BD0"/>
    <w:rsid w:val="1A9F4F41"/>
    <w:rsid w:val="1B3B333A"/>
    <w:rsid w:val="1B9B7602"/>
    <w:rsid w:val="1BA3636F"/>
    <w:rsid w:val="1BA629B1"/>
    <w:rsid w:val="1C4D6024"/>
    <w:rsid w:val="1CCA7C23"/>
    <w:rsid w:val="1D167BB0"/>
    <w:rsid w:val="1D4346DB"/>
    <w:rsid w:val="1E0C1846"/>
    <w:rsid w:val="1E2D03BE"/>
    <w:rsid w:val="1E364ABB"/>
    <w:rsid w:val="1E3D1D66"/>
    <w:rsid w:val="1EBB7FD7"/>
    <w:rsid w:val="1F3A3763"/>
    <w:rsid w:val="1FB14ADA"/>
    <w:rsid w:val="1FBE3FCA"/>
    <w:rsid w:val="203736E0"/>
    <w:rsid w:val="20676975"/>
    <w:rsid w:val="20926234"/>
    <w:rsid w:val="20C97AB8"/>
    <w:rsid w:val="20E425E0"/>
    <w:rsid w:val="212264CC"/>
    <w:rsid w:val="21B84FBB"/>
    <w:rsid w:val="22023D1E"/>
    <w:rsid w:val="22105277"/>
    <w:rsid w:val="22154A39"/>
    <w:rsid w:val="2228224B"/>
    <w:rsid w:val="22AA6F0C"/>
    <w:rsid w:val="235845CE"/>
    <w:rsid w:val="24367503"/>
    <w:rsid w:val="246674A6"/>
    <w:rsid w:val="248A266E"/>
    <w:rsid w:val="24F24F2E"/>
    <w:rsid w:val="25063CF2"/>
    <w:rsid w:val="25081547"/>
    <w:rsid w:val="258043F8"/>
    <w:rsid w:val="26516DBD"/>
    <w:rsid w:val="266C2325"/>
    <w:rsid w:val="26963CBF"/>
    <w:rsid w:val="26E827E5"/>
    <w:rsid w:val="274F5C31"/>
    <w:rsid w:val="278504DF"/>
    <w:rsid w:val="282F7E9B"/>
    <w:rsid w:val="283E153C"/>
    <w:rsid w:val="283E6B13"/>
    <w:rsid w:val="29125FD8"/>
    <w:rsid w:val="29490912"/>
    <w:rsid w:val="295241BD"/>
    <w:rsid w:val="299D7464"/>
    <w:rsid w:val="29C20921"/>
    <w:rsid w:val="29F267C3"/>
    <w:rsid w:val="2A077882"/>
    <w:rsid w:val="2A565760"/>
    <w:rsid w:val="2AAF7DF1"/>
    <w:rsid w:val="2B1D20E9"/>
    <w:rsid w:val="2B514291"/>
    <w:rsid w:val="2B544B84"/>
    <w:rsid w:val="2B9F69FE"/>
    <w:rsid w:val="2CB9079E"/>
    <w:rsid w:val="2D167F79"/>
    <w:rsid w:val="2DE33277"/>
    <w:rsid w:val="2DE43651"/>
    <w:rsid w:val="2E1B4F31"/>
    <w:rsid w:val="2E5A1991"/>
    <w:rsid w:val="2E907332"/>
    <w:rsid w:val="2EB77BD8"/>
    <w:rsid w:val="2F701657"/>
    <w:rsid w:val="2FC37C9F"/>
    <w:rsid w:val="2FED0A68"/>
    <w:rsid w:val="301F3354"/>
    <w:rsid w:val="302F1181"/>
    <w:rsid w:val="30462300"/>
    <w:rsid w:val="30737006"/>
    <w:rsid w:val="30764D01"/>
    <w:rsid w:val="30796E4A"/>
    <w:rsid w:val="30944D74"/>
    <w:rsid w:val="30947EF6"/>
    <w:rsid w:val="314A7500"/>
    <w:rsid w:val="319A4478"/>
    <w:rsid w:val="31AE7A5A"/>
    <w:rsid w:val="31E3796F"/>
    <w:rsid w:val="31E61D67"/>
    <w:rsid w:val="322D7963"/>
    <w:rsid w:val="32F62C2E"/>
    <w:rsid w:val="334B75BF"/>
    <w:rsid w:val="336373CE"/>
    <w:rsid w:val="336C4DB9"/>
    <w:rsid w:val="33C2292C"/>
    <w:rsid w:val="33F62924"/>
    <w:rsid w:val="341130F9"/>
    <w:rsid w:val="346B40A4"/>
    <w:rsid w:val="349A4449"/>
    <w:rsid w:val="350F1F97"/>
    <w:rsid w:val="35F90AEA"/>
    <w:rsid w:val="36193FFF"/>
    <w:rsid w:val="36870D46"/>
    <w:rsid w:val="369F18E3"/>
    <w:rsid w:val="36FC0BC5"/>
    <w:rsid w:val="371137F3"/>
    <w:rsid w:val="380A5BA2"/>
    <w:rsid w:val="38733356"/>
    <w:rsid w:val="392B200D"/>
    <w:rsid w:val="396D4167"/>
    <w:rsid w:val="398D44DF"/>
    <w:rsid w:val="39A3756E"/>
    <w:rsid w:val="3A362051"/>
    <w:rsid w:val="3A4579C7"/>
    <w:rsid w:val="3A556D80"/>
    <w:rsid w:val="3A734369"/>
    <w:rsid w:val="3A8E119F"/>
    <w:rsid w:val="3B0279DF"/>
    <w:rsid w:val="3B50339D"/>
    <w:rsid w:val="3B8D1DB2"/>
    <w:rsid w:val="3BD151D0"/>
    <w:rsid w:val="3C074C65"/>
    <w:rsid w:val="3C7A173D"/>
    <w:rsid w:val="3C7E4BFC"/>
    <w:rsid w:val="3CD12B36"/>
    <w:rsid w:val="3CE9678E"/>
    <w:rsid w:val="3D0D26E7"/>
    <w:rsid w:val="3D1111EA"/>
    <w:rsid w:val="3D4761A7"/>
    <w:rsid w:val="3E3B22A9"/>
    <w:rsid w:val="3E92254C"/>
    <w:rsid w:val="3EA54235"/>
    <w:rsid w:val="3EE255EF"/>
    <w:rsid w:val="3EED24CB"/>
    <w:rsid w:val="3F1C77BE"/>
    <w:rsid w:val="402179EF"/>
    <w:rsid w:val="40556A18"/>
    <w:rsid w:val="409B07B2"/>
    <w:rsid w:val="41025B59"/>
    <w:rsid w:val="41B87871"/>
    <w:rsid w:val="42271EA2"/>
    <w:rsid w:val="4274575D"/>
    <w:rsid w:val="42A757F7"/>
    <w:rsid w:val="42B76C49"/>
    <w:rsid w:val="42D6121C"/>
    <w:rsid w:val="437E2A4C"/>
    <w:rsid w:val="43A10383"/>
    <w:rsid w:val="4461247F"/>
    <w:rsid w:val="44F65E97"/>
    <w:rsid w:val="45083D29"/>
    <w:rsid w:val="45215D31"/>
    <w:rsid w:val="45847281"/>
    <w:rsid w:val="45D14C0C"/>
    <w:rsid w:val="460808AE"/>
    <w:rsid w:val="46CE3AF8"/>
    <w:rsid w:val="46F16653"/>
    <w:rsid w:val="470F4D1A"/>
    <w:rsid w:val="47102F58"/>
    <w:rsid w:val="473C00F9"/>
    <w:rsid w:val="476B1B17"/>
    <w:rsid w:val="483B5FD2"/>
    <w:rsid w:val="489A10ED"/>
    <w:rsid w:val="48C77895"/>
    <w:rsid w:val="491F6842"/>
    <w:rsid w:val="49521F38"/>
    <w:rsid w:val="4A2635DD"/>
    <w:rsid w:val="4A665F1F"/>
    <w:rsid w:val="4A7E722B"/>
    <w:rsid w:val="4B6D4764"/>
    <w:rsid w:val="4BD401A2"/>
    <w:rsid w:val="4C2A7988"/>
    <w:rsid w:val="4C5520BD"/>
    <w:rsid w:val="4C742E7C"/>
    <w:rsid w:val="4D407691"/>
    <w:rsid w:val="4DD700A8"/>
    <w:rsid w:val="4E317B2B"/>
    <w:rsid w:val="4E450D79"/>
    <w:rsid w:val="4F990C9D"/>
    <w:rsid w:val="511C4819"/>
    <w:rsid w:val="5298199C"/>
    <w:rsid w:val="52C45798"/>
    <w:rsid w:val="52D40E33"/>
    <w:rsid w:val="53DE2B8A"/>
    <w:rsid w:val="53EF37D2"/>
    <w:rsid w:val="54223754"/>
    <w:rsid w:val="54265D9E"/>
    <w:rsid w:val="54337DE2"/>
    <w:rsid w:val="547E0778"/>
    <w:rsid w:val="54B34B03"/>
    <w:rsid w:val="54FA1DD6"/>
    <w:rsid w:val="55260ACC"/>
    <w:rsid w:val="553D4F0F"/>
    <w:rsid w:val="55FA736D"/>
    <w:rsid w:val="562B5016"/>
    <w:rsid w:val="56751DEA"/>
    <w:rsid w:val="56DB3930"/>
    <w:rsid w:val="57012E78"/>
    <w:rsid w:val="57914EBE"/>
    <w:rsid w:val="57B456DF"/>
    <w:rsid w:val="57F93A8B"/>
    <w:rsid w:val="59176032"/>
    <w:rsid w:val="59586511"/>
    <w:rsid w:val="59854343"/>
    <w:rsid w:val="59C83B7E"/>
    <w:rsid w:val="5A505176"/>
    <w:rsid w:val="5A8A6407"/>
    <w:rsid w:val="5BB24393"/>
    <w:rsid w:val="5BC117AC"/>
    <w:rsid w:val="5C0F3150"/>
    <w:rsid w:val="5C7F4A95"/>
    <w:rsid w:val="5D355068"/>
    <w:rsid w:val="5D4E33C6"/>
    <w:rsid w:val="5D7D225B"/>
    <w:rsid w:val="5E026A92"/>
    <w:rsid w:val="5E3C724E"/>
    <w:rsid w:val="5E5E65AB"/>
    <w:rsid w:val="5F635465"/>
    <w:rsid w:val="5FEA4961"/>
    <w:rsid w:val="603F7F35"/>
    <w:rsid w:val="60623C34"/>
    <w:rsid w:val="60936FFB"/>
    <w:rsid w:val="616A1054"/>
    <w:rsid w:val="61A56442"/>
    <w:rsid w:val="62384FEC"/>
    <w:rsid w:val="62774838"/>
    <w:rsid w:val="62996A99"/>
    <w:rsid w:val="632E3299"/>
    <w:rsid w:val="635E6EFD"/>
    <w:rsid w:val="63CD561D"/>
    <w:rsid w:val="63DE7A32"/>
    <w:rsid w:val="642242A0"/>
    <w:rsid w:val="64BA649C"/>
    <w:rsid w:val="661E4A0D"/>
    <w:rsid w:val="66315EF8"/>
    <w:rsid w:val="66401712"/>
    <w:rsid w:val="668976A1"/>
    <w:rsid w:val="67137E1B"/>
    <w:rsid w:val="67262384"/>
    <w:rsid w:val="678E7206"/>
    <w:rsid w:val="67C67469"/>
    <w:rsid w:val="68A953D9"/>
    <w:rsid w:val="68F248C0"/>
    <w:rsid w:val="69872067"/>
    <w:rsid w:val="69DD52A5"/>
    <w:rsid w:val="6A505E97"/>
    <w:rsid w:val="6A95422B"/>
    <w:rsid w:val="6B723072"/>
    <w:rsid w:val="6B764C64"/>
    <w:rsid w:val="6C2232F6"/>
    <w:rsid w:val="6C4A022B"/>
    <w:rsid w:val="6C6539D0"/>
    <w:rsid w:val="6CCE349D"/>
    <w:rsid w:val="6D5826B9"/>
    <w:rsid w:val="6D645EF8"/>
    <w:rsid w:val="6D66455F"/>
    <w:rsid w:val="6DE86BF1"/>
    <w:rsid w:val="6E304906"/>
    <w:rsid w:val="6F0A601B"/>
    <w:rsid w:val="6FA25904"/>
    <w:rsid w:val="6FA96883"/>
    <w:rsid w:val="709734C6"/>
    <w:rsid w:val="70BB6047"/>
    <w:rsid w:val="70D87991"/>
    <w:rsid w:val="71065E35"/>
    <w:rsid w:val="710837FE"/>
    <w:rsid w:val="713770CD"/>
    <w:rsid w:val="7189763F"/>
    <w:rsid w:val="72276104"/>
    <w:rsid w:val="7251204E"/>
    <w:rsid w:val="7320660C"/>
    <w:rsid w:val="73E52DD5"/>
    <w:rsid w:val="751C3F70"/>
    <w:rsid w:val="758050BB"/>
    <w:rsid w:val="75B4432B"/>
    <w:rsid w:val="761D16DF"/>
    <w:rsid w:val="76E0440E"/>
    <w:rsid w:val="77726F53"/>
    <w:rsid w:val="77C145E4"/>
    <w:rsid w:val="77E852EC"/>
    <w:rsid w:val="7858669E"/>
    <w:rsid w:val="78C53D06"/>
    <w:rsid w:val="795A5B65"/>
    <w:rsid w:val="79B42C6C"/>
    <w:rsid w:val="79DB1089"/>
    <w:rsid w:val="79F3266A"/>
    <w:rsid w:val="7B294C20"/>
    <w:rsid w:val="7B2C1AB2"/>
    <w:rsid w:val="7B891BF7"/>
    <w:rsid w:val="7B8A4C82"/>
    <w:rsid w:val="7C957F67"/>
    <w:rsid w:val="7CB721C8"/>
    <w:rsid w:val="7DF16BF5"/>
    <w:rsid w:val="7E4A73B7"/>
    <w:rsid w:val="7E8C7692"/>
    <w:rsid w:val="7ED24BB6"/>
    <w:rsid w:val="7EF05285"/>
    <w:rsid w:val="7F2541B1"/>
    <w:rsid w:val="7F9B68DD"/>
    <w:rsid w:val="7FDE7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pPr>
    <w:rPr>
      <w:rFonts w:asciiTheme="minorHAnsi" w:hAnsiTheme="minorHAnsi" w:eastAsiaTheme="minorEastAsia" w:cstheme="minorBidi"/>
      <w:sz w:val="28"/>
      <w:szCs w:val="22"/>
      <w:lang w:val="en-US" w:eastAsia="en-US" w:bidi="en-US"/>
    </w:rPr>
  </w:style>
  <w:style w:type="paragraph" w:styleId="2">
    <w:name w:val="heading 1"/>
    <w:basedOn w:val="1"/>
    <w:next w:val="1"/>
    <w:qFormat/>
    <w:uiPriority w:val="9"/>
    <w:pPr>
      <w:keepNext/>
      <w:keepLines/>
      <w:numPr>
        <w:ilvl w:val="0"/>
        <w:numId w:val="1"/>
      </w:numPr>
      <w:spacing w:after="0"/>
      <w:outlineLvl w:val="0"/>
    </w:pPr>
    <w:rPr>
      <w:rFonts w:ascii="黑体" w:hAnsi="黑体" w:eastAsia="黑体" w:cs="Times New Roman"/>
      <w:b/>
      <w:sz w:val="36"/>
      <w:szCs w:val="36"/>
      <w:lang w:eastAsia="zh-CN"/>
    </w:rPr>
  </w:style>
  <w:style w:type="paragraph" w:styleId="3">
    <w:name w:val="heading 2"/>
    <w:basedOn w:val="1"/>
    <w:next w:val="1"/>
    <w:unhideWhenUsed/>
    <w:qFormat/>
    <w:uiPriority w:val="9"/>
    <w:pPr>
      <w:keepNext/>
      <w:keepLines/>
      <w:numPr>
        <w:ilvl w:val="1"/>
        <w:numId w:val="1"/>
      </w:numPr>
      <w:spacing w:after="0"/>
      <w:outlineLvl w:val="1"/>
    </w:pPr>
    <w:rPr>
      <w:rFonts w:eastAsia="楷体_GB2312" w:asciiTheme="majorHAnsi" w:hAnsiTheme="majorHAnsi" w:cstheme="majorBidi"/>
      <w:b/>
      <w:bCs/>
      <w:sz w:val="36"/>
      <w:szCs w:val="32"/>
      <w:lang w:eastAsia="zh-CN"/>
    </w:rPr>
  </w:style>
  <w:style w:type="paragraph" w:styleId="4">
    <w:name w:val="heading 3"/>
    <w:basedOn w:val="1"/>
    <w:next w:val="1"/>
    <w:unhideWhenUsed/>
    <w:qFormat/>
    <w:uiPriority w:val="9"/>
    <w:pPr>
      <w:keepNext/>
      <w:keepLines/>
      <w:numPr>
        <w:ilvl w:val="2"/>
        <w:numId w:val="1"/>
      </w:numPr>
      <w:spacing w:after="0"/>
      <w:outlineLvl w:val="2"/>
    </w:pPr>
    <w:rPr>
      <w:rFonts w:asciiTheme="majorHAnsi" w:hAnsiTheme="majorHAnsi" w:eastAsiaTheme="majorEastAsia" w:cstheme="majorBidi"/>
      <w:b/>
      <w:bCs/>
      <w:lang w:eastAsia="zh-CN"/>
    </w:rPr>
  </w:style>
  <w:style w:type="paragraph" w:styleId="5">
    <w:name w:val="heading 4"/>
    <w:basedOn w:val="1"/>
    <w:next w:val="1"/>
    <w:unhideWhenUsed/>
    <w:qFormat/>
    <w:uiPriority w:val="9"/>
    <w:pPr>
      <w:keepNext/>
      <w:keepLines/>
      <w:numPr>
        <w:ilvl w:val="3"/>
        <w:numId w:val="1"/>
      </w:numPr>
      <w:spacing w:after="0"/>
      <w:outlineLvl w:val="3"/>
    </w:pPr>
    <w:rPr>
      <w:rFonts w:asciiTheme="majorHAnsi" w:hAnsiTheme="majorHAnsi" w:eastAsiaTheme="majorEastAsia" w:cstheme="majorBidi"/>
      <w:b/>
      <w:bCs/>
      <w:iCs/>
      <w:lang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widowControl w:val="0"/>
      <w:spacing w:after="0" w:line="240" w:lineRule="auto"/>
      <w:ind w:firstLine="420"/>
      <w:jc w:val="both"/>
    </w:pPr>
    <w:rPr>
      <w:rFonts w:eastAsia="宋体"/>
      <w:kern w:val="2"/>
      <w:sz w:val="21"/>
      <w:lang w:eastAsia="zh-CN" w:bidi="ar-SA"/>
    </w:rPr>
  </w:style>
  <w:style w:type="paragraph" w:styleId="7">
    <w:name w:val="Body Text"/>
    <w:basedOn w:val="1"/>
    <w:next w:val="1"/>
    <w:qFormat/>
    <w:uiPriority w:val="0"/>
    <w:pPr>
      <w:widowControl w:val="0"/>
      <w:spacing w:after="120" w:line="240" w:lineRule="auto"/>
      <w:jc w:val="both"/>
    </w:pPr>
    <w:rPr>
      <w:rFonts w:ascii="Tahoma" w:hAnsi="Tahoma"/>
      <w:kern w:val="2"/>
      <w:sz w:val="21"/>
      <w:lang w:eastAsia="zh-CN" w:bidi="ar-SA"/>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_0_0_0"/>
    <w:qFormat/>
    <w:uiPriority w:val="0"/>
    <w:pPr>
      <w:widowControl w:val="0"/>
      <w:autoSpaceDE w:val="0"/>
      <w:autoSpaceDN w:val="0"/>
    </w:pPr>
    <w:rPr>
      <w:rFonts w:ascii="Noto Sans CJK JP Regular" w:hAnsi="Noto Sans CJK JP Regular" w:eastAsia="Noto Sans CJK JP Regular" w:cs="Noto Sans CJK JP Regular"/>
      <w:sz w:val="22"/>
      <w:szCs w:val="22"/>
      <w:lang w:val="en-US" w:eastAsia="en-US" w:bidi="ar-SA"/>
    </w:rPr>
  </w:style>
  <w:style w:type="paragraph" w:customStyle="1" w:styleId="13">
    <w:name w:val="__正文"/>
    <w:qFormat/>
    <w:uiPriority w:val="0"/>
    <w:pPr>
      <w:spacing w:line="360" w:lineRule="auto"/>
      <w:ind w:firstLine="200" w:firstLineChars="200"/>
    </w:pPr>
    <w:rPr>
      <w:rFonts w:ascii="Calibri" w:hAnsi="Calibri" w:eastAsia="宋体" w:cs="Times New Roman"/>
      <w:kern w:val="2"/>
      <w:sz w:val="24"/>
      <w:szCs w:val="21"/>
      <w:lang w:val="en-US" w:eastAsia="zh-CN" w:bidi="ar-SA"/>
    </w:rPr>
  </w:style>
  <w:style w:type="paragraph" w:styleId="14">
    <w:name w:val="List Paragraph"/>
    <w:basedOn w:val="1"/>
    <w:qFormat/>
    <w:uiPriority w:val="34"/>
    <w:pPr>
      <w:ind w:left="720"/>
      <w:contextualSpacing/>
    </w:pPr>
  </w:style>
  <w:style w:type="character" w:customStyle="1" w:styleId="15">
    <w:name w:val="cf01"/>
    <w:basedOn w:val="10"/>
    <w:qFormat/>
    <w:uiPriority w:val="0"/>
    <w:rPr>
      <w:rFonts w:hint="eastAsia" w:ascii="Microsoft YaHei UI" w:hAnsi="Microsoft YaHei UI" w:eastAsia="Microsoft YaHei UI"/>
      <w:sz w:val="18"/>
      <w:szCs w:val="18"/>
    </w:rPr>
  </w:style>
  <w:style w:type="paragraph" w:customStyle="1" w:styleId="16">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正文_2"/>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2024-11-12T12:25:00Z</dcterms:created>
  <dc:creator>黄熙栋</dc:creator>
  <cp:lastModifiedBy>黄熙栋</cp:lastModifiedBy>
  <dcterms:modified xsi:type="dcterms:W3CDTF">2024-11-12T12:25:33Z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30BC6FDC052E40A39DD3F266EBA6487F_11</vt:lpwstr>
  </property>
</Properties>
</file>